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广西壮族自治区公安厅</w:t>
      </w:r>
    </w:p>
    <w:p>
      <w:pPr>
        <w:spacing w:line="640" w:lineRule="exact"/>
        <w:jc w:val="center"/>
        <w:rPr>
          <w:rFonts w:hint="eastAsia" w:ascii="方正小标宋简体" w:hAnsi="方正小标宋简体"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lang w:eastAsia="zh-CN"/>
        </w:rPr>
        <w:t>年度政府信息公开工作年度报告</w:t>
      </w:r>
    </w:p>
    <w:p>
      <w:pPr>
        <w:jc w:val="both"/>
        <w:rPr>
          <w:rFonts w:hint="eastAsia" w:ascii="方正小标宋简体" w:hAnsi="方正小标宋简体" w:eastAsia="方正小标宋简体" w:cs="方正小标宋简体"/>
          <w:sz w:val="44"/>
          <w:szCs w:val="44"/>
          <w:lang w:eastAsia="zh-CN"/>
        </w:rPr>
      </w:pP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本报告系根据《中华人民共和国政府信息公开条例》要求编制，有关情况及数据统计期限为</w:t>
      </w:r>
      <w:r>
        <w:rPr>
          <w:rFonts w:hint="eastAsia" w:ascii="Times New Roman" w:hAnsi="Times New Roman" w:eastAsia="仿宋_GB2312" w:cs="仿宋_GB2312"/>
          <w:sz w:val="32"/>
          <w:szCs w:val="32"/>
          <w:lang w:eastAsia="zh-CN"/>
        </w:rPr>
        <w:t>2022</w:t>
      </w:r>
      <w:r>
        <w:rPr>
          <w:rFonts w:hint="eastAsia" w:ascii="仿宋_GB2312" w:hAnsi="仿宋_GB2312" w:eastAsia="仿宋_GB2312" w:cs="仿宋_GB2312"/>
          <w:sz w:val="32"/>
          <w:szCs w:val="32"/>
          <w:lang w:eastAsia="zh-CN"/>
        </w:rPr>
        <w:t>年</w:t>
      </w:r>
      <w:r>
        <w:rPr>
          <w:rFonts w:hint="eastAsia" w:ascii="Times New Roman" w:hAnsi="Times New Roman" w:eastAsia="仿宋_GB2312" w:cs="仿宋_GB2312"/>
          <w:sz w:val="32"/>
          <w:szCs w:val="32"/>
          <w:lang w:eastAsia="zh-CN"/>
        </w:rPr>
        <w:t>1</w:t>
      </w:r>
      <w:r>
        <w:rPr>
          <w:rFonts w:hint="eastAsia" w:ascii="仿宋_GB2312" w:hAnsi="仿宋_GB2312" w:eastAsia="仿宋_GB2312" w:cs="仿宋_GB2312"/>
          <w:sz w:val="32"/>
          <w:szCs w:val="32"/>
          <w:lang w:eastAsia="zh-CN"/>
        </w:rPr>
        <w:t>月</w:t>
      </w:r>
      <w:r>
        <w:rPr>
          <w:rFonts w:hint="eastAsia" w:ascii="Times New Roman" w:hAnsi="Times New Roman" w:eastAsia="仿宋_GB2312" w:cs="仿宋_GB2312"/>
          <w:sz w:val="32"/>
          <w:szCs w:val="32"/>
          <w:lang w:eastAsia="zh-CN"/>
        </w:rPr>
        <w:t>1</w:t>
      </w:r>
      <w:r>
        <w:rPr>
          <w:rFonts w:hint="eastAsia" w:ascii="仿宋_GB2312" w:hAnsi="仿宋_GB2312" w:eastAsia="仿宋_GB2312" w:cs="仿宋_GB2312"/>
          <w:sz w:val="32"/>
          <w:szCs w:val="32"/>
          <w:lang w:eastAsia="zh-CN"/>
        </w:rPr>
        <w:t>日至</w:t>
      </w:r>
      <w:r>
        <w:rPr>
          <w:rFonts w:hint="eastAsia" w:ascii="Times New Roman" w:hAnsi="Times New Roman" w:eastAsia="仿宋_GB2312" w:cs="仿宋_GB2312"/>
          <w:sz w:val="32"/>
          <w:szCs w:val="32"/>
          <w:lang w:eastAsia="zh-CN"/>
        </w:rPr>
        <w:t>2022</w:t>
      </w:r>
      <w:r>
        <w:rPr>
          <w:rFonts w:hint="eastAsia" w:ascii="仿宋_GB2312" w:hAnsi="仿宋_GB2312" w:eastAsia="仿宋_GB2312" w:cs="仿宋_GB2312"/>
          <w:sz w:val="32"/>
          <w:szCs w:val="32"/>
          <w:lang w:eastAsia="zh-CN"/>
        </w:rPr>
        <w:t>年</w:t>
      </w:r>
      <w:r>
        <w:rPr>
          <w:rFonts w:hint="eastAsia" w:ascii="Times New Roman" w:hAnsi="Times New Roman" w:eastAsia="仿宋_GB2312" w:cs="仿宋_GB2312"/>
          <w:sz w:val="32"/>
          <w:szCs w:val="32"/>
          <w:lang w:eastAsia="zh-CN"/>
        </w:rPr>
        <w:t>12</w:t>
      </w:r>
      <w:r>
        <w:rPr>
          <w:rFonts w:hint="eastAsia" w:ascii="仿宋_GB2312" w:hAnsi="仿宋_GB2312" w:eastAsia="仿宋_GB2312" w:cs="仿宋_GB2312"/>
          <w:sz w:val="32"/>
          <w:szCs w:val="32"/>
          <w:lang w:eastAsia="zh-CN"/>
        </w:rPr>
        <w:t>月</w:t>
      </w:r>
      <w:r>
        <w:rPr>
          <w:rFonts w:hint="eastAsia" w:ascii="Times New Roman" w:hAnsi="Times New Roman" w:eastAsia="仿宋_GB2312" w:cs="仿宋_GB2312"/>
          <w:sz w:val="32"/>
          <w:szCs w:val="32"/>
          <w:lang w:eastAsia="zh-CN"/>
        </w:rPr>
        <w:t>31</w:t>
      </w:r>
      <w:r>
        <w:rPr>
          <w:rFonts w:hint="eastAsia" w:ascii="仿宋_GB2312" w:hAnsi="仿宋_GB2312" w:eastAsia="仿宋_GB2312" w:cs="仿宋_GB2312"/>
          <w:sz w:val="32"/>
          <w:szCs w:val="32"/>
          <w:lang w:eastAsia="zh-CN"/>
        </w:rPr>
        <w:t>日。</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年，自治区公安厅坚持以习近平新时代中国特色社会主义思想为指导，深入学习习近平总书记对广西“五个更大”重要要求，深入贯彻落实习近平总书记视察广西“</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27</w:t>
      </w:r>
      <w:r>
        <w:rPr>
          <w:rFonts w:hint="eastAsia" w:ascii="仿宋_GB2312" w:hAnsi="仿宋_GB2312" w:eastAsia="仿宋_GB2312" w:cs="仿宋_GB2312"/>
          <w:sz w:val="32"/>
          <w:szCs w:val="32"/>
          <w:lang w:val="en-US" w:eastAsia="zh-CN"/>
        </w:rPr>
        <w:t>”重要讲话精神和对广西工作系列重要指示精神，紧紧围绕自治区党委、政府和公安部部署要求，坚持以人民为中心的发展思想，进一步健全公安政务公开机制，提升公安政务公开质量，服务推进全区经济社会高质量发展。</w:t>
      </w:r>
    </w:p>
    <w:p>
      <w:pPr>
        <w:numPr>
          <w:ilvl w:val="-1"/>
          <w:numId w:val="0"/>
        </w:numPr>
        <w:ind w:left="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（一）依法持续推进政务信息主动公开。</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年，自治区公安厅召开新闻发布会、媒体座谈会、记者见面会等发布活动19场，其中厅领导参加9场；通过政务网站和新媒体共</w:t>
      </w:r>
      <w:r>
        <w:rPr>
          <w:rFonts w:hint="eastAsia" w:ascii="仿宋_GB2312" w:hAnsi="仿宋_GB2312" w:eastAsia="仿宋_GB2312" w:cs="仿宋_GB2312"/>
          <w:color w:val="auto"/>
          <w:sz w:val="32"/>
          <w:szCs w:val="32"/>
          <w:lang w:val="en-US" w:eastAsia="zh-CN"/>
        </w:rPr>
        <w:t>公开发布1.6万余条</w:t>
      </w:r>
      <w:r>
        <w:rPr>
          <w:rFonts w:hint="eastAsia" w:ascii="仿宋_GB2312" w:hAnsi="仿宋_GB2312" w:eastAsia="仿宋_GB2312" w:cs="仿宋_GB2312"/>
          <w:sz w:val="32"/>
          <w:szCs w:val="32"/>
          <w:lang w:val="en-US" w:eastAsia="zh-CN"/>
        </w:rPr>
        <w:t>政府信息，其中政务网站发布信息</w:t>
      </w:r>
      <w:r>
        <w:rPr>
          <w:rFonts w:hint="eastAsia" w:ascii="Times New Roman" w:hAnsi="Times New Roman" w:eastAsia="仿宋_GB2312" w:cs="仿宋_GB2312"/>
          <w:sz w:val="32"/>
          <w:szCs w:val="32"/>
          <w:lang w:val="en-US" w:eastAsia="zh-CN"/>
        </w:rPr>
        <w:t>965</w:t>
      </w:r>
      <w:r>
        <w:rPr>
          <w:rFonts w:hint="eastAsia" w:ascii="仿宋_GB2312" w:hAnsi="仿宋_GB2312" w:eastAsia="仿宋_GB2312" w:cs="仿宋_GB2312"/>
          <w:sz w:val="32"/>
          <w:szCs w:val="32"/>
          <w:lang w:val="en-US" w:eastAsia="zh-CN"/>
        </w:rPr>
        <w:t>条，新媒体发布1.59万余条。做好法定公开，依法公开公务员招考信息、财政预决算和三公经费公开信息、政府采购信息、重大会议信息、疫情防控相关政策信息等政务网站重点领域信息公开专栏的信息发布。做好政策解读，通过政务网站主动公开规范性文件</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份，采用文字、图片、视频相结合形式发布政策解读</w:t>
      </w: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次。做好权责事项清单动态调整公开。公开动态调整后的权责事项清单有</w:t>
      </w:r>
      <w:r>
        <w:rPr>
          <w:rFonts w:hint="eastAsia" w:ascii="Times New Roman" w:hAnsi="Times New Roman" w:eastAsia="仿宋_GB2312" w:cs="仿宋_GB2312"/>
          <w:sz w:val="32"/>
          <w:szCs w:val="32"/>
          <w:lang w:val="en-US" w:eastAsia="zh-CN"/>
        </w:rPr>
        <w:t>69</w:t>
      </w:r>
      <w:r>
        <w:rPr>
          <w:rFonts w:hint="eastAsia" w:ascii="仿宋_GB2312" w:hAnsi="仿宋_GB2312" w:eastAsia="仿宋_GB2312" w:cs="仿宋_GB2312"/>
          <w:sz w:val="32"/>
          <w:szCs w:val="32"/>
          <w:lang w:val="en-US" w:eastAsia="zh-CN"/>
        </w:rPr>
        <w:t>项，其中行政许可</w:t>
      </w:r>
      <w:r>
        <w:rPr>
          <w:rFonts w:hint="eastAsia" w:ascii="Times New Roman" w:hAnsi="Times New Roman" w:eastAsia="仿宋_GB2312" w:cs="仿宋_GB2312"/>
          <w:sz w:val="32"/>
          <w:szCs w:val="32"/>
          <w:lang w:val="en-US" w:eastAsia="zh-CN"/>
        </w:rPr>
        <w:t>24</w:t>
      </w:r>
      <w:r>
        <w:rPr>
          <w:rFonts w:hint="eastAsia" w:ascii="仿宋_GB2312" w:hAnsi="仿宋_GB2312" w:eastAsia="仿宋_GB2312" w:cs="仿宋_GB2312"/>
          <w:sz w:val="32"/>
          <w:szCs w:val="32"/>
          <w:lang w:val="en-US" w:eastAsia="zh-CN"/>
        </w:rPr>
        <w:t>项、行政处罚</w:t>
      </w:r>
      <w:r>
        <w:rPr>
          <w:rFonts w:hint="eastAsia" w:ascii="Times New Roman" w:hAnsi="Times New Roman" w:eastAsia="仿宋_GB2312" w:cs="仿宋_GB2312"/>
          <w:sz w:val="32"/>
          <w:szCs w:val="32"/>
          <w:lang w:val="en-US" w:eastAsia="zh-CN"/>
        </w:rPr>
        <w:t>19</w:t>
      </w:r>
      <w:r>
        <w:rPr>
          <w:rFonts w:hint="eastAsia" w:ascii="仿宋_GB2312" w:hAnsi="仿宋_GB2312" w:eastAsia="仿宋_GB2312" w:cs="仿宋_GB2312"/>
          <w:sz w:val="32"/>
          <w:szCs w:val="32"/>
          <w:lang w:val="en-US" w:eastAsia="zh-CN"/>
        </w:rPr>
        <w:t>项、行政强制</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项、行政检查</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项、行政确认</w:t>
      </w: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项、行政奖励</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项、其他行政权力</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项。</w:t>
      </w:r>
    </w:p>
    <w:p>
      <w:pPr>
        <w:numPr>
          <w:ilvl w:val="-1"/>
          <w:numId w:val="0"/>
        </w:numPr>
        <w:ind w:left="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（二）高效有序办理依申请公开。</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年，共收到群众申请政府信息公开</w:t>
      </w:r>
      <w:r>
        <w:rPr>
          <w:rFonts w:hint="eastAsia" w:ascii="Times New Roman" w:hAnsi="Times New Roman" w:eastAsia="仿宋_GB2312" w:cs="仿宋_GB2312"/>
          <w:sz w:val="32"/>
          <w:szCs w:val="32"/>
          <w:lang w:val="en-US" w:eastAsia="zh-CN"/>
        </w:rPr>
        <w:t>21</w:t>
      </w:r>
      <w:r>
        <w:rPr>
          <w:rFonts w:hint="eastAsia" w:ascii="仿宋_GB2312" w:hAnsi="仿宋_GB2312" w:eastAsia="仿宋_GB2312" w:cs="仿宋_GB2312"/>
          <w:sz w:val="32"/>
          <w:szCs w:val="32"/>
          <w:lang w:val="en-US" w:eastAsia="zh-CN"/>
        </w:rPr>
        <w:t>件，其中网上申请</w:t>
      </w:r>
      <w:r>
        <w:rPr>
          <w:rFonts w:hint="eastAsia" w:ascii="Times New Roman" w:hAnsi="Times New Roman" w:eastAsia="仿宋_GB2312" w:cs="仿宋_GB2312"/>
          <w:sz w:val="32"/>
          <w:szCs w:val="32"/>
          <w:lang w:val="en-US" w:eastAsia="zh-CN"/>
        </w:rPr>
        <w:t>20</w:t>
      </w:r>
      <w:r>
        <w:rPr>
          <w:rFonts w:hint="eastAsia" w:ascii="仿宋_GB2312" w:hAnsi="仿宋_GB2312" w:eastAsia="仿宋_GB2312" w:cs="仿宋_GB2312"/>
          <w:sz w:val="32"/>
          <w:szCs w:val="32"/>
          <w:lang w:val="en-US" w:eastAsia="zh-CN"/>
        </w:rPr>
        <w:t>件、信函申请</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件，其中受理</w:t>
      </w:r>
      <w:r>
        <w:rPr>
          <w:rFonts w:hint="eastAsia" w:ascii="Times New Roman" w:hAnsi="Times New Roman" w:eastAsia="仿宋_GB2312" w:cs="仿宋_GB2312"/>
          <w:sz w:val="32"/>
          <w:szCs w:val="32"/>
          <w:lang w:val="en-US" w:eastAsia="zh-CN"/>
        </w:rPr>
        <w:t>14</w:t>
      </w:r>
      <w:r>
        <w:rPr>
          <w:rFonts w:hint="eastAsia" w:ascii="仿宋_GB2312" w:hAnsi="仿宋_GB2312" w:eastAsia="仿宋_GB2312" w:cs="仿宋_GB2312"/>
          <w:sz w:val="32"/>
          <w:szCs w:val="32"/>
          <w:lang w:val="en-US" w:eastAsia="zh-CN"/>
        </w:rPr>
        <w:t>件，不予受理</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件（信访投诉举报类</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件、重复申请</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件、不属于本部门办理</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件、无相关信息</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件、属国家秘密</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件）。申请事项涉及治安、户政等业务及信访举报投诉，均在法定时限内作出答复，答复率</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%。发生因政府信息公开申请引起的行政复议案件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起，接受行政诉讼</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起。</w:t>
      </w:r>
    </w:p>
    <w:p>
      <w:pPr>
        <w:numPr>
          <w:ilvl w:val="-1"/>
          <w:numId w:val="0"/>
        </w:numPr>
        <w:ind w:left="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（三）拓宽政府信息公开平台渠道。</w:t>
      </w:r>
      <w:r>
        <w:rPr>
          <w:rFonts w:hint="eastAsia" w:ascii="仿宋_GB2312" w:hAnsi="仿宋_GB2312" w:eastAsia="仿宋_GB2312" w:cs="仿宋_GB2312"/>
          <w:sz w:val="32"/>
          <w:szCs w:val="32"/>
          <w:lang w:val="en-US" w:eastAsia="zh-CN"/>
        </w:rPr>
        <w:t>我厅始终坚持以人民为中心的发展思想，以便民利警为出发点，全面加强门户网站、微信公众号、抖音等渠道，结合广播、电视、报刊、杂志等传统媒介。同时，积极拓展新媒体宣传渠道，全方位、多维度、矩阵式主动向社会公开政府信息。</w:t>
      </w:r>
    </w:p>
    <w:p>
      <w:pPr>
        <w:numPr>
          <w:ilvl w:val="-1"/>
          <w:numId w:val="0"/>
        </w:numPr>
        <w:ind w:left="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（四）着力提升解读回应能力。</w:t>
      </w:r>
      <w:r>
        <w:rPr>
          <w:rFonts w:hint="eastAsia" w:ascii="仿宋_GB2312" w:hAnsi="仿宋_GB2312" w:eastAsia="仿宋_GB2312" w:cs="仿宋_GB2312"/>
          <w:sz w:val="32"/>
          <w:szCs w:val="32"/>
          <w:lang w:val="en-US" w:eastAsia="zh-CN"/>
        </w:rPr>
        <w:t>以“聚焦二十大 忠诚保平安”为主题，深入学习宣传贯彻党的二十大精神，展现新时期广西公安新担当新作为。我厅在互联网平台开设厅长信箱，</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年累计接收群众来信</w:t>
      </w:r>
      <w:r>
        <w:rPr>
          <w:rFonts w:hint="eastAsia" w:ascii="Times New Roman" w:hAnsi="Times New Roman" w:eastAsia="仿宋_GB2312" w:cs="仿宋_GB2312"/>
          <w:sz w:val="32"/>
          <w:szCs w:val="32"/>
          <w:lang w:val="en-US" w:eastAsia="zh-CN"/>
        </w:rPr>
        <w:t>735</w:t>
      </w:r>
      <w:r>
        <w:rPr>
          <w:rFonts w:hint="eastAsia" w:ascii="仿宋_GB2312" w:hAnsi="仿宋_GB2312" w:eastAsia="仿宋_GB2312" w:cs="仿宋_GB2312"/>
          <w:sz w:val="32"/>
          <w:szCs w:val="32"/>
          <w:lang w:val="en-US" w:eastAsia="zh-CN"/>
        </w:rPr>
        <w:t>件，为群众快速解决“急难愁盼”问题近</w:t>
      </w:r>
      <w:r>
        <w:rPr>
          <w:rFonts w:hint="eastAsia" w:ascii="Times New Roman" w:hAnsi="Times New Roman" w:eastAsia="仿宋_GB2312" w:cs="仿宋_GB2312"/>
          <w:sz w:val="32"/>
          <w:szCs w:val="32"/>
          <w:lang w:val="en-US" w:eastAsia="zh-CN"/>
        </w:rPr>
        <w:t>653</w:t>
      </w:r>
      <w:r>
        <w:rPr>
          <w:rFonts w:hint="eastAsia" w:ascii="仿宋_GB2312" w:hAnsi="仿宋_GB2312" w:eastAsia="仿宋_GB2312" w:cs="仿宋_GB2312"/>
          <w:sz w:val="32"/>
          <w:szCs w:val="32"/>
          <w:lang w:val="en-US" w:eastAsia="zh-CN"/>
        </w:rPr>
        <w:t>个，收到感谢信</w:t>
      </w:r>
      <w:r>
        <w:rPr>
          <w:rFonts w:hint="eastAsia" w:ascii="Times New Roman" w:hAnsi="Times New Roman" w:eastAsia="仿宋_GB2312" w:cs="仿宋_GB2312"/>
          <w:sz w:val="32"/>
          <w:szCs w:val="32"/>
          <w:lang w:val="en-US" w:eastAsia="zh-CN"/>
        </w:rPr>
        <w:t>50</w:t>
      </w:r>
      <w:r>
        <w:rPr>
          <w:rFonts w:hint="eastAsia" w:ascii="仿宋_GB2312" w:hAnsi="仿宋_GB2312" w:eastAsia="仿宋_GB2312" w:cs="仿宋_GB2312"/>
          <w:sz w:val="32"/>
          <w:szCs w:val="32"/>
          <w:lang w:val="en-US" w:eastAsia="zh-CN"/>
        </w:rPr>
        <w:t>余封，推动各级公安机关执法规范化进一步提高。</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9072" w:type="dxa"/>
            <w:gridSpan w:val="4"/>
            <w:shd w:val="clear" w:color="auto" w:fill="C6D9F1"/>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信息内容</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本年制发件数</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本年废止件数</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规章</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行政规范性文件</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2268" w:type="dxa"/>
            <w:noWrap w:val="0"/>
            <w:tcMar>
              <w:left w:w="28" w:type="dxa"/>
              <w:right w:w="33" w:type="dxa"/>
            </w:tcMar>
            <w:vAlign w:val="center"/>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9072" w:type="dxa"/>
            <w:gridSpan w:val="4"/>
            <w:shd w:val="clear" w:color="auto" w:fill="C6D9F1"/>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信息内容</w:t>
            </w:r>
          </w:p>
        </w:tc>
        <w:tc>
          <w:tcPr>
            <w:tcW w:w="6804" w:type="dxa"/>
            <w:gridSpan w:val="3"/>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行政许可</w:t>
            </w:r>
          </w:p>
        </w:tc>
        <w:tc>
          <w:tcPr>
            <w:tcW w:w="6804" w:type="dxa"/>
            <w:gridSpan w:val="3"/>
            <w:noWrap w:val="0"/>
            <w:tcMar>
              <w:left w:w="28" w:type="dxa"/>
              <w:right w:w="33" w:type="dxa"/>
            </w:tcMar>
            <w:vAlign w:val="center"/>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9072" w:type="dxa"/>
            <w:gridSpan w:val="4"/>
            <w:shd w:val="clear" w:color="auto" w:fill="C6D9F1"/>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信息内容</w:t>
            </w:r>
          </w:p>
        </w:tc>
        <w:tc>
          <w:tcPr>
            <w:tcW w:w="6804" w:type="dxa"/>
            <w:gridSpan w:val="3"/>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行政处罚</w:t>
            </w:r>
          </w:p>
        </w:tc>
        <w:tc>
          <w:tcPr>
            <w:tcW w:w="6804" w:type="dxa"/>
            <w:gridSpan w:val="3"/>
            <w:noWrap w:val="0"/>
            <w:tcMar>
              <w:left w:w="28" w:type="dxa"/>
              <w:right w:w="33" w:type="dxa"/>
            </w:tcMar>
            <w:vAlign w:val="center"/>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159626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行政强制</w:t>
            </w:r>
          </w:p>
        </w:tc>
        <w:tc>
          <w:tcPr>
            <w:tcW w:w="6804" w:type="dxa"/>
            <w:gridSpan w:val="3"/>
            <w:noWrap w:val="0"/>
            <w:tcMar>
              <w:left w:w="28" w:type="dxa"/>
              <w:right w:w="33" w:type="dxa"/>
            </w:tcMar>
            <w:vAlign w:val="center"/>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9072" w:type="dxa"/>
            <w:gridSpan w:val="4"/>
            <w:shd w:val="clear" w:color="auto" w:fill="C6D9F1"/>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信息内容</w:t>
            </w:r>
          </w:p>
        </w:tc>
        <w:tc>
          <w:tcPr>
            <w:tcW w:w="6804" w:type="dxa"/>
            <w:gridSpan w:val="3"/>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2268"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rPr>
            </w:pPr>
            <w:r>
              <w:rPr>
                <w:rFonts w:hint="eastAsia" w:ascii="方正书宋_GBK" w:eastAsia="方正书宋_GBK"/>
                <w:snapToGrid w:val="0"/>
                <w:sz w:val="21"/>
                <w:szCs w:val="21"/>
                <w:lang w:bidi="ar"/>
              </w:rPr>
              <w:t>行政事业性收费</w:t>
            </w:r>
          </w:p>
        </w:tc>
        <w:tc>
          <w:tcPr>
            <w:tcW w:w="6804" w:type="dxa"/>
            <w:gridSpan w:val="3"/>
            <w:noWrap w:val="0"/>
            <w:tcMar>
              <w:left w:w="28" w:type="dxa"/>
              <w:right w:w="33" w:type="dxa"/>
            </w:tcMar>
            <w:vAlign w:val="center"/>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方正书宋_GBK" w:eastAsia="方正书宋_GBK"/>
                <w:snapToGrid w:val="0"/>
                <w:sz w:val="21"/>
                <w:szCs w:val="21"/>
                <w:lang w:val="en-US" w:eastAsia="zh-CN"/>
              </w:rPr>
              <w:t>738.43</w:t>
            </w:r>
          </w:p>
        </w:tc>
      </w:tr>
    </w:tbl>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240" w:lineRule="auto"/>
        <w:ind w:firstLine="640" w:firstLineChars="200"/>
        <w:jc w:val="both"/>
        <w:textAlignment w:val="auto"/>
        <w:rPr>
          <w:rFonts w:hint="eastAsia" w:ascii="黑体" w:hAnsi="黑体" w:eastAsia="黑体" w:cs="黑体"/>
          <w:snapToGrid w:val="0"/>
          <w:kern w:val="2"/>
          <w:sz w:val="32"/>
          <w:szCs w:val="32"/>
          <w:shd w:val="clear" w:color="auto" w:fill="FFFFFF"/>
        </w:rPr>
      </w:pP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240" w:lineRule="auto"/>
        <w:ind w:firstLine="640" w:firstLineChars="200"/>
        <w:jc w:val="both"/>
        <w:textAlignment w:val="auto"/>
        <w:rPr>
          <w:rFonts w:hint="eastAsia" w:ascii="黑体" w:hAnsi="黑体" w:eastAsia="黑体" w:cs="黑体"/>
          <w:snapToGrid w:val="0"/>
          <w:kern w:val="2"/>
          <w:sz w:val="32"/>
          <w:szCs w:val="32"/>
          <w:shd w:val="clear" w:color="auto" w:fill="FFFFFF"/>
        </w:rPr>
      </w:pPr>
      <w:r>
        <w:rPr>
          <w:rFonts w:hint="eastAsia" w:ascii="黑体" w:hAnsi="黑体" w:eastAsia="黑体" w:cs="黑体"/>
          <w:snapToGrid w:val="0"/>
          <w:kern w:val="2"/>
          <w:sz w:val="32"/>
          <w:szCs w:val="32"/>
          <w:shd w:val="clear" w:color="auto" w:fill="FFFFFF"/>
        </w:rPr>
        <w:t>三、收到和处理政府信息公开申请情况</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04"/>
        <w:gridCol w:w="858"/>
        <w:gridCol w:w="3023"/>
        <w:gridCol w:w="641"/>
        <w:gridCol w:w="641"/>
        <w:gridCol w:w="641"/>
        <w:gridCol w:w="641"/>
        <w:gridCol w:w="641"/>
        <w:gridCol w:w="6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jc w:val="center"/>
        </w:trPr>
        <w:tc>
          <w:tcPr>
            <w:tcW w:w="4585" w:type="dxa"/>
            <w:gridSpan w:val="3"/>
            <w:vMerge w:val="restart"/>
            <w:noWrap w:val="0"/>
            <w:tcMar>
              <w:left w:w="28" w:type="dxa"/>
              <w:right w:w="33" w:type="dxa"/>
            </w:tcMar>
            <w:vAlign w:val="center"/>
          </w:tcPr>
          <w:p>
            <w:pPr>
              <w:adjustRightInd w:val="0"/>
              <w:snapToGrid w:val="0"/>
              <w:spacing w:line="240" w:lineRule="auto"/>
              <w:rPr>
                <w:rFonts w:hint="eastAsia" w:ascii="方正黑体_GBK" w:eastAsia="方正黑体_GBK"/>
                <w:snapToGrid w:val="0"/>
                <w:sz w:val="21"/>
                <w:szCs w:val="21"/>
              </w:rPr>
            </w:pPr>
            <w:r>
              <w:rPr>
                <w:rFonts w:hint="eastAsia" w:ascii="方正黑体_GBK" w:eastAsia="方正黑体_GBK"/>
                <w:snapToGrid w:val="0"/>
                <w:sz w:val="21"/>
                <w:szCs w:val="21"/>
                <w:lang w:bidi="ar"/>
              </w:rPr>
              <w:t>（本列数据的勾稽关系为：第一项加第二项之和，等于第三项加第四项之和）</w:t>
            </w:r>
          </w:p>
        </w:tc>
        <w:tc>
          <w:tcPr>
            <w:tcW w:w="4487" w:type="dxa"/>
            <w:gridSpan w:val="7"/>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jc w:val="center"/>
        </w:trPr>
        <w:tc>
          <w:tcPr>
            <w:tcW w:w="4585" w:type="dxa"/>
            <w:gridSpan w:val="3"/>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1" w:type="dxa"/>
            <w:vMerge w:val="restart"/>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自然人</w:t>
            </w:r>
          </w:p>
        </w:tc>
        <w:tc>
          <w:tcPr>
            <w:tcW w:w="3205" w:type="dxa"/>
            <w:gridSpan w:val="5"/>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法人或其他组织</w:t>
            </w:r>
          </w:p>
        </w:tc>
        <w:tc>
          <w:tcPr>
            <w:tcW w:w="641" w:type="dxa"/>
            <w:vMerge w:val="restart"/>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jc w:val="center"/>
        </w:trPr>
        <w:tc>
          <w:tcPr>
            <w:tcW w:w="4585" w:type="dxa"/>
            <w:gridSpan w:val="3"/>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1" w:type="dxa"/>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1"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商业</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企业</w:t>
            </w:r>
          </w:p>
        </w:tc>
        <w:tc>
          <w:tcPr>
            <w:tcW w:w="641"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科研</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机构</w:t>
            </w:r>
          </w:p>
        </w:tc>
        <w:tc>
          <w:tcPr>
            <w:tcW w:w="641"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社会公益组织</w:t>
            </w:r>
          </w:p>
        </w:tc>
        <w:tc>
          <w:tcPr>
            <w:tcW w:w="641"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法律服务机构</w:t>
            </w:r>
          </w:p>
        </w:tc>
        <w:tc>
          <w:tcPr>
            <w:tcW w:w="641"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其他</w:t>
            </w:r>
          </w:p>
        </w:tc>
        <w:tc>
          <w:tcPr>
            <w:tcW w:w="641" w:type="dxa"/>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585" w:type="dxa"/>
            <w:gridSpan w:val="3"/>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一、本年新收政府信息公开申请数量</w:t>
            </w:r>
          </w:p>
        </w:tc>
        <w:tc>
          <w:tcPr>
            <w:tcW w:w="641" w:type="dxa"/>
            <w:noWrap w:val="0"/>
            <w:tcMar>
              <w:left w:w="28" w:type="dxa"/>
              <w:right w:w="33" w:type="dxa"/>
            </w:tcMar>
            <w:vAlign w:val="center"/>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21</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585" w:type="dxa"/>
            <w:gridSpan w:val="3"/>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二、上年结转政府信息公开申请数量</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restart"/>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三、本年度办理结果</w:t>
            </w:r>
          </w:p>
        </w:tc>
        <w:tc>
          <w:tcPr>
            <w:tcW w:w="3881" w:type="dxa"/>
            <w:gridSpan w:val="2"/>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（一）予以公开</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5</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881" w:type="dxa"/>
            <w:gridSpan w:val="2"/>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（二）部分公开（区分处理的，只计这一情形，不计其他情形）</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restart"/>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（三）不予公开</w:t>
            </w: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1</w:t>
            </w:r>
            <w:r>
              <w:rPr>
                <w:rFonts w:hint="eastAsia" w:ascii="方正书宋_GBK" w:eastAsia="方正书宋_GBK"/>
                <w:snapToGrid w:val="0"/>
                <w:sz w:val="21"/>
                <w:szCs w:val="21"/>
                <w:lang w:bidi="ar"/>
              </w:rPr>
              <w:t>.属于国家秘密</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2</w:t>
            </w:r>
            <w:r>
              <w:rPr>
                <w:rFonts w:hint="eastAsia" w:ascii="方正书宋_GBK" w:eastAsia="方正书宋_GBK"/>
                <w:snapToGrid w:val="0"/>
                <w:sz w:val="21"/>
                <w:szCs w:val="21"/>
                <w:lang w:bidi="ar"/>
              </w:rPr>
              <w:t>.其他法律行政法规禁止公开</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3</w:t>
            </w:r>
            <w:r>
              <w:rPr>
                <w:rFonts w:hint="eastAsia" w:ascii="方正书宋_GBK" w:eastAsia="方正书宋_GBK"/>
                <w:snapToGrid w:val="0"/>
                <w:sz w:val="21"/>
                <w:szCs w:val="21"/>
                <w:lang w:bidi="ar"/>
              </w:rPr>
              <w:t>.危及“三安全一稳定”</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4</w:t>
            </w:r>
            <w:r>
              <w:rPr>
                <w:rFonts w:hint="eastAsia" w:ascii="方正书宋_GBK" w:eastAsia="方正书宋_GBK"/>
                <w:snapToGrid w:val="0"/>
                <w:sz w:val="21"/>
                <w:szCs w:val="21"/>
                <w:lang w:bidi="ar"/>
              </w:rPr>
              <w:t>.保护第三方合法权益</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5</w:t>
            </w:r>
            <w:r>
              <w:rPr>
                <w:rFonts w:hint="eastAsia" w:ascii="方正书宋_GBK" w:eastAsia="方正书宋_GBK"/>
                <w:snapToGrid w:val="0"/>
                <w:sz w:val="21"/>
                <w:szCs w:val="21"/>
                <w:lang w:bidi="ar"/>
              </w:rPr>
              <w:t>.属于三类内部事务信息</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6</w:t>
            </w:r>
            <w:r>
              <w:rPr>
                <w:rFonts w:hint="eastAsia" w:ascii="方正书宋_GBK" w:eastAsia="方正书宋_GBK"/>
                <w:snapToGrid w:val="0"/>
                <w:sz w:val="21"/>
                <w:szCs w:val="21"/>
                <w:lang w:bidi="ar"/>
              </w:rPr>
              <w:t>.属于四类过程性信息</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7</w:t>
            </w:r>
            <w:r>
              <w:rPr>
                <w:rFonts w:hint="eastAsia" w:ascii="方正书宋_GBK" w:eastAsia="方正书宋_GBK"/>
                <w:snapToGrid w:val="0"/>
                <w:sz w:val="21"/>
                <w:szCs w:val="21"/>
                <w:lang w:bidi="ar"/>
              </w:rPr>
              <w:t>.属于行政执法案卷</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8</w:t>
            </w:r>
            <w:r>
              <w:rPr>
                <w:rFonts w:hint="eastAsia" w:ascii="方正书宋_GBK" w:eastAsia="方正书宋_GBK"/>
                <w:snapToGrid w:val="0"/>
                <w:sz w:val="21"/>
                <w:szCs w:val="21"/>
                <w:lang w:bidi="ar"/>
              </w:rPr>
              <w:t>.属于行政查询事项</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restart"/>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（四）无法提供</w:t>
            </w: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1</w:t>
            </w:r>
            <w:r>
              <w:rPr>
                <w:rFonts w:hint="eastAsia" w:ascii="方正书宋_GBK" w:eastAsia="方正书宋_GBK"/>
                <w:snapToGrid w:val="0"/>
                <w:sz w:val="21"/>
                <w:szCs w:val="21"/>
                <w:lang w:bidi="ar"/>
              </w:rPr>
              <w:t>.本机关不掌握相关政府信息</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2</w:t>
            </w:r>
            <w:r>
              <w:rPr>
                <w:rFonts w:hint="eastAsia" w:ascii="方正书宋_GBK" w:eastAsia="方正书宋_GBK"/>
                <w:snapToGrid w:val="0"/>
                <w:sz w:val="21"/>
                <w:szCs w:val="21"/>
                <w:lang w:bidi="ar"/>
              </w:rPr>
              <w:t>.没有现成信息需要另行制作</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3</w:t>
            </w:r>
            <w:r>
              <w:rPr>
                <w:rFonts w:hint="eastAsia" w:ascii="方正书宋_GBK" w:eastAsia="方正书宋_GBK"/>
                <w:snapToGrid w:val="0"/>
                <w:sz w:val="21"/>
                <w:szCs w:val="21"/>
                <w:lang w:bidi="ar"/>
              </w:rPr>
              <w:t>.补正后申请内容仍不明确</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restart"/>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（五）不予处理</w:t>
            </w: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1</w:t>
            </w:r>
            <w:r>
              <w:rPr>
                <w:rFonts w:hint="eastAsia" w:ascii="方正书宋_GBK" w:eastAsia="方正书宋_GBK"/>
                <w:snapToGrid w:val="0"/>
                <w:sz w:val="21"/>
                <w:szCs w:val="21"/>
                <w:lang w:bidi="ar"/>
              </w:rPr>
              <w:t>.信访举报投诉类申请</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3</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2</w:t>
            </w:r>
            <w:r>
              <w:rPr>
                <w:rFonts w:hint="eastAsia" w:ascii="方正书宋_GBK" w:eastAsia="方正书宋_GBK"/>
                <w:snapToGrid w:val="0"/>
                <w:sz w:val="21"/>
                <w:szCs w:val="21"/>
                <w:lang w:bidi="ar"/>
              </w:rPr>
              <w:t>.重复申请</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3</w:t>
            </w:r>
            <w:r>
              <w:rPr>
                <w:rFonts w:hint="eastAsia" w:ascii="方正书宋_GBK" w:eastAsia="方正书宋_GBK"/>
                <w:snapToGrid w:val="0"/>
                <w:sz w:val="21"/>
                <w:szCs w:val="21"/>
                <w:lang w:bidi="ar"/>
              </w:rPr>
              <w:t>.要求提供公开出版物</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top"/>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4</w:t>
            </w:r>
            <w:r>
              <w:rPr>
                <w:rFonts w:hint="eastAsia" w:ascii="方正书宋_GBK" w:eastAsia="方正书宋_GBK"/>
                <w:snapToGrid w:val="0"/>
                <w:sz w:val="21"/>
                <w:szCs w:val="21"/>
                <w:lang w:bidi="ar"/>
              </w:rPr>
              <w:t>.无正当理由大量反复申请</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5</w:t>
            </w:r>
            <w:r>
              <w:rPr>
                <w:rFonts w:hint="eastAsia" w:ascii="方正书宋_GBK" w:eastAsia="方正书宋_GBK"/>
                <w:snapToGrid w:val="0"/>
                <w:sz w:val="21"/>
                <w:szCs w:val="21"/>
                <w:lang w:bidi="ar"/>
              </w:rPr>
              <w:t>.要求行政机关确认或重新出具已获取信息</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restart"/>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（六）其他处理</w:t>
            </w:r>
          </w:p>
        </w:tc>
        <w:tc>
          <w:tcPr>
            <w:tcW w:w="3023" w:type="dxa"/>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1</w:t>
            </w:r>
            <w:r>
              <w:rPr>
                <w:rFonts w:hint="eastAsia" w:ascii="方正书宋_GBK" w:eastAsia="方正书宋_GBK"/>
                <w:snapToGrid w:val="0"/>
                <w:sz w:val="21"/>
                <w:szCs w:val="21"/>
                <w:lang w:bidi="ar"/>
              </w:rPr>
              <w:t>.申请人无正当理由逾期不补正、行政机关不再处理其政府信息公开申请</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2</w:t>
            </w:r>
            <w:r>
              <w:rPr>
                <w:rFonts w:hint="eastAsia" w:ascii="方正书宋_GBK" w:eastAsia="方正书宋_GBK"/>
                <w:snapToGrid w:val="0"/>
                <w:sz w:val="21"/>
                <w:szCs w:val="21"/>
                <w:lang w:bidi="ar"/>
              </w:rPr>
              <w:t>.申请人逾期未按收费通知要求缴纳费用、行政机关不再处理其政府信息公开申请</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858"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023" w:type="dxa"/>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Times New Roman" w:hAnsi="Times New Roman" w:eastAsia="方正书宋_GBK"/>
                <w:snapToGrid w:val="0"/>
                <w:sz w:val="21"/>
                <w:szCs w:val="21"/>
                <w:lang w:bidi="ar"/>
              </w:rPr>
              <w:t>3</w:t>
            </w:r>
            <w:r>
              <w:rPr>
                <w:rFonts w:hint="eastAsia" w:ascii="方正书宋_GBK" w:eastAsia="方正书宋_GBK"/>
                <w:snapToGrid w:val="0"/>
                <w:sz w:val="21"/>
                <w:szCs w:val="21"/>
                <w:lang w:bidi="ar"/>
              </w:rPr>
              <w:t>.其他</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9</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04" w:type="dxa"/>
            <w:vMerge w:val="continue"/>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p>
        </w:tc>
        <w:tc>
          <w:tcPr>
            <w:tcW w:w="3881" w:type="dxa"/>
            <w:gridSpan w:val="2"/>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（七）总计</w:t>
            </w:r>
          </w:p>
        </w:tc>
        <w:tc>
          <w:tcPr>
            <w:tcW w:w="641" w:type="dxa"/>
            <w:noWrap w:val="0"/>
            <w:tcMar>
              <w:left w:w="28" w:type="dxa"/>
              <w:right w:w="33" w:type="dxa"/>
            </w:tcMar>
            <w:vAlign w:val="center"/>
          </w:tcPr>
          <w:p>
            <w:pPr>
              <w:adjustRightInd w:val="0"/>
              <w:snapToGrid w:val="0"/>
              <w:spacing w:line="240" w:lineRule="auto"/>
              <w:jc w:val="center"/>
              <w:rPr>
                <w:rFonts w:hint="default"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21</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default"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21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585" w:type="dxa"/>
            <w:gridSpan w:val="3"/>
            <w:noWrap w:val="0"/>
            <w:tcMar>
              <w:left w:w="28" w:type="dxa"/>
              <w:right w:w="33" w:type="dxa"/>
            </w:tcMar>
            <w:vAlign w:val="center"/>
          </w:tcPr>
          <w:p>
            <w:pPr>
              <w:adjustRightInd w:val="0"/>
              <w:snapToGrid w:val="0"/>
              <w:spacing w:line="240" w:lineRule="auto"/>
              <w:rPr>
                <w:rFonts w:hint="eastAsia" w:ascii="方正书宋_GBK" w:eastAsia="方正书宋_GBK"/>
                <w:snapToGrid w:val="0"/>
                <w:sz w:val="21"/>
                <w:szCs w:val="21"/>
              </w:rPr>
            </w:pPr>
            <w:r>
              <w:rPr>
                <w:rFonts w:hint="eastAsia" w:ascii="方正书宋_GBK" w:eastAsia="方正书宋_GBK"/>
                <w:snapToGrid w:val="0"/>
                <w:sz w:val="21"/>
                <w:szCs w:val="21"/>
                <w:lang w:bidi="ar"/>
              </w:rPr>
              <w:t>四、结转下年度继续办理</w:t>
            </w:r>
          </w:p>
        </w:tc>
        <w:tc>
          <w:tcPr>
            <w:tcW w:w="641"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c>
          <w:tcPr>
            <w:tcW w:w="641" w:type="dxa"/>
            <w:noWrap w:val="0"/>
            <w:tcMar>
              <w:left w:w="28" w:type="dxa"/>
              <w:right w:w="33" w:type="dxa"/>
            </w:tcMar>
            <w:vAlign w:val="top"/>
          </w:tcPr>
          <w:p>
            <w:pPr>
              <w:adjustRightInd w:val="0"/>
              <w:snapToGrid w:val="0"/>
              <w:spacing w:line="240" w:lineRule="auto"/>
              <w:jc w:val="center"/>
              <w:rPr>
                <w:rFonts w:hint="eastAsia" w:ascii="方正书宋_GBK" w:eastAsia="方正书宋_GBK" w:hAnsiTheme="minorHAnsi" w:cstheme="minorBidi"/>
                <w:snapToGrid w:val="0"/>
                <w:kern w:val="2"/>
                <w:sz w:val="21"/>
                <w:szCs w:val="21"/>
                <w:lang w:val="en-US" w:eastAsia="zh-CN" w:bidi="ar-SA"/>
              </w:rPr>
            </w:pPr>
            <w:r>
              <w:rPr>
                <w:rFonts w:hint="eastAsia" w:ascii="Times New Roman" w:hAnsi="Times New Roman" w:eastAsia="方正书宋_GBK"/>
                <w:snapToGrid w:val="0"/>
                <w:sz w:val="21"/>
                <w:szCs w:val="21"/>
                <w:lang w:val="en-US" w:eastAsia="zh-CN"/>
              </w:rPr>
              <w:t>0</w:t>
            </w:r>
          </w:p>
        </w:tc>
      </w:tr>
    </w:tbl>
    <w:p>
      <w:pPr>
        <w:shd w:val="clear" w:color="auto" w:fill="FFFFFF"/>
        <w:adjustRightInd w:val="0"/>
        <w:snapToGrid w:val="0"/>
        <w:spacing w:line="240" w:lineRule="auto"/>
        <w:rPr>
          <w:rFonts w:eastAsia="方正仿宋_GBK"/>
          <w:snapToGrid w:val="0"/>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240" w:lineRule="auto"/>
        <w:ind w:firstLine="640" w:firstLineChars="200"/>
        <w:jc w:val="both"/>
        <w:textAlignment w:val="auto"/>
        <w:rPr>
          <w:rFonts w:hint="eastAsia" w:ascii="黑体" w:hAnsi="黑体" w:eastAsia="黑体" w:cs="黑体"/>
          <w:snapToGrid w:val="0"/>
          <w:kern w:val="2"/>
          <w:sz w:val="32"/>
          <w:szCs w:val="32"/>
          <w:shd w:val="clear" w:color="auto" w:fill="FFFFFF"/>
        </w:rPr>
      </w:pPr>
      <w:r>
        <w:rPr>
          <w:rFonts w:hint="eastAsia" w:ascii="黑体" w:hAnsi="黑体" w:eastAsia="黑体" w:cs="黑体"/>
          <w:snapToGrid w:val="0"/>
          <w:kern w:val="2"/>
          <w:sz w:val="32"/>
          <w:szCs w:val="32"/>
          <w:shd w:val="clear" w:color="auto" w:fill="FFFFFF"/>
        </w:rPr>
        <w:t>四、政府信息公开行政复议、行政诉讼情况</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05"/>
        <w:gridCol w:w="605"/>
        <w:gridCol w:w="605"/>
        <w:gridCol w:w="605"/>
        <w:gridCol w:w="604"/>
        <w:gridCol w:w="604"/>
        <w:gridCol w:w="604"/>
        <w:gridCol w:w="605"/>
        <w:gridCol w:w="605"/>
        <w:gridCol w:w="605"/>
        <w:gridCol w:w="605"/>
        <w:gridCol w:w="605"/>
        <w:gridCol w:w="605"/>
        <w:gridCol w:w="605"/>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3210" w:type="dxa"/>
            <w:gridSpan w:val="5"/>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行政复议</w:t>
            </w:r>
          </w:p>
        </w:tc>
        <w:tc>
          <w:tcPr>
            <w:tcW w:w="6428" w:type="dxa"/>
            <w:gridSpan w:val="10"/>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42" w:type="dxa"/>
            <w:vMerge w:val="restart"/>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结果维持</w:t>
            </w:r>
          </w:p>
        </w:tc>
        <w:tc>
          <w:tcPr>
            <w:tcW w:w="642" w:type="dxa"/>
            <w:vMerge w:val="restart"/>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结果</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纠正</w:t>
            </w:r>
          </w:p>
        </w:tc>
        <w:tc>
          <w:tcPr>
            <w:tcW w:w="642" w:type="dxa"/>
            <w:vMerge w:val="restart"/>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其他</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结果</w:t>
            </w:r>
          </w:p>
        </w:tc>
        <w:tc>
          <w:tcPr>
            <w:tcW w:w="642" w:type="dxa"/>
            <w:vMerge w:val="restart"/>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尚未</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审结</w:t>
            </w:r>
          </w:p>
        </w:tc>
        <w:tc>
          <w:tcPr>
            <w:tcW w:w="642" w:type="dxa"/>
            <w:vMerge w:val="restart"/>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总计</w:t>
            </w:r>
          </w:p>
        </w:tc>
        <w:tc>
          <w:tcPr>
            <w:tcW w:w="3213" w:type="dxa"/>
            <w:gridSpan w:val="5"/>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未经复议直接起诉</w:t>
            </w:r>
          </w:p>
        </w:tc>
        <w:tc>
          <w:tcPr>
            <w:tcW w:w="3215" w:type="dxa"/>
            <w:gridSpan w:val="5"/>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42" w:type="dxa"/>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2" w:type="dxa"/>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2" w:type="dxa"/>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2" w:type="dxa"/>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2" w:type="dxa"/>
            <w:vMerge w:val="continue"/>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p>
        </w:tc>
        <w:tc>
          <w:tcPr>
            <w:tcW w:w="642"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结果</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维持</w:t>
            </w:r>
          </w:p>
        </w:tc>
        <w:tc>
          <w:tcPr>
            <w:tcW w:w="642"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结果</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纠正</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其他</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结果</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尚未</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审结</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总计</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结果</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维持</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结果</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纠正</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其他</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结果</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lang w:eastAsia="zh-CN" w:bidi="ar"/>
              </w:rPr>
            </w:pPr>
            <w:r>
              <w:rPr>
                <w:rFonts w:hint="eastAsia" w:ascii="方正黑体_GBK" w:eastAsia="方正黑体_GBK"/>
                <w:snapToGrid w:val="0"/>
                <w:sz w:val="21"/>
                <w:szCs w:val="21"/>
                <w:lang w:bidi="ar"/>
              </w:rPr>
              <w:t>尚未</w:t>
            </w:r>
          </w:p>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审结</w:t>
            </w:r>
          </w:p>
        </w:tc>
        <w:tc>
          <w:tcPr>
            <w:tcW w:w="643" w:type="dxa"/>
            <w:noWrap w:val="0"/>
            <w:tcMar>
              <w:left w:w="28" w:type="dxa"/>
              <w:right w:w="33" w:type="dxa"/>
            </w:tcMar>
            <w:vAlign w:val="center"/>
          </w:tcPr>
          <w:p>
            <w:pPr>
              <w:adjustRightInd w:val="0"/>
              <w:snapToGrid w:val="0"/>
              <w:spacing w:line="240" w:lineRule="auto"/>
              <w:jc w:val="center"/>
              <w:rPr>
                <w:rFonts w:hint="eastAsia" w:ascii="方正黑体_GBK" w:eastAsia="方正黑体_GBK"/>
                <w:snapToGrid w:val="0"/>
                <w:sz w:val="21"/>
                <w:szCs w:val="21"/>
              </w:rPr>
            </w:pPr>
            <w:r>
              <w:rPr>
                <w:rFonts w:hint="eastAsia" w:ascii="方正黑体_GBK" w:eastAsia="方正黑体_GBK"/>
                <w:snapToGrid w:val="0"/>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55" w:hRule="atLeast"/>
          <w:jc w:val="center"/>
        </w:trPr>
        <w:tc>
          <w:tcPr>
            <w:tcW w:w="642"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3</w:t>
            </w:r>
          </w:p>
        </w:tc>
        <w:tc>
          <w:tcPr>
            <w:tcW w:w="642"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c>
          <w:tcPr>
            <w:tcW w:w="642"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3</w:t>
            </w:r>
          </w:p>
        </w:tc>
        <w:tc>
          <w:tcPr>
            <w:tcW w:w="642"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2"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7</w:t>
            </w:r>
          </w:p>
        </w:tc>
        <w:tc>
          <w:tcPr>
            <w:tcW w:w="642"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2"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0</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c>
          <w:tcPr>
            <w:tcW w:w="643" w:type="dxa"/>
            <w:noWrap w:val="0"/>
            <w:tcMar>
              <w:left w:w="28" w:type="dxa"/>
              <w:right w:w="33" w:type="dxa"/>
            </w:tcMar>
            <w:vAlign w:val="center"/>
          </w:tcPr>
          <w:p>
            <w:pPr>
              <w:adjustRightInd w:val="0"/>
              <w:snapToGrid w:val="0"/>
              <w:spacing w:line="240" w:lineRule="auto"/>
              <w:jc w:val="center"/>
              <w:rPr>
                <w:rFonts w:hint="eastAsia" w:ascii="方正书宋_GBK" w:eastAsia="方正书宋_GBK"/>
                <w:snapToGrid w:val="0"/>
                <w:sz w:val="21"/>
                <w:szCs w:val="21"/>
                <w:lang w:val="en-US" w:eastAsia="zh-CN"/>
              </w:rPr>
            </w:pPr>
            <w:r>
              <w:rPr>
                <w:rFonts w:hint="eastAsia" w:ascii="Times New Roman" w:hAnsi="Times New Roman" w:eastAsia="方正书宋_GBK"/>
                <w:snapToGrid w:val="0"/>
                <w:sz w:val="21"/>
                <w:szCs w:val="21"/>
                <w:lang w:val="en-US" w:eastAsia="zh-CN"/>
              </w:rPr>
              <w:t>1</w:t>
            </w:r>
          </w:p>
        </w:tc>
      </w:tr>
    </w:tbl>
    <w:p>
      <w:pPr>
        <w:pStyle w:val="3"/>
        <w:keepNext w:val="0"/>
        <w:keepLines w:val="0"/>
        <w:pageBreakBefore w:val="0"/>
        <w:widowControl w:val="0"/>
        <w:numPr>
          <w:ilvl w:val="-1"/>
          <w:numId w:val="0"/>
        </w:numPr>
        <w:shd w:val="clear" w:color="auto" w:fill="FFFFFF"/>
        <w:kinsoku/>
        <w:wordWrap/>
        <w:overflowPunct/>
        <w:topLinePunct w:val="0"/>
        <w:autoSpaceDE/>
        <w:autoSpaceDN/>
        <w:bidi w:val="0"/>
        <w:adjustRightInd w:val="0"/>
        <w:snapToGrid w:val="0"/>
        <w:spacing w:beforeAutospacing="0" w:afterAutospacing="0" w:line="240" w:lineRule="auto"/>
        <w:ind w:firstLine="640" w:firstLineChars="200"/>
        <w:jc w:val="both"/>
        <w:textAlignment w:val="auto"/>
        <w:rPr>
          <w:rFonts w:hint="eastAsia" w:ascii="黑体" w:hAnsi="黑体" w:eastAsia="黑体" w:cs="黑体"/>
          <w:snapToGrid w:val="0"/>
          <w:kern w:val="2"/>
          <w:sz w:val="32"/>
          <w:szCs w:val="32"/>
          <w:shd w:val="clear" w:color="auto" w:fill="FFFFFF"/>
          <w:lang w:eastAsia="zh-CN"/>
        </w:rPr>
      </w:pPr>
    </w:p>
    <w:p>
      <w:pPr>
        <w:pStyle w:val="3"/>
        <w:keepNext w:val="0"/>
        <w:keepLines w:val="0"/>
        <w:pageBreakBefore w:val="0"/>
        <w:widowControl w:val="0"/>
        <w:numPr>
          <w:ilvl w:val="-1"/>
          <w:numId w:val="0"/>
        </w:numPr>
        <w:shd w:val="clear" w:color="auto" w:fill="FFFFFF"/>
        <w:kinsoku/>
        <w:wordWrap/>
        <w:overflowPunct/>
        <w:topLinePunct w:val="0"/>
        <w:autoSpaceDE/>
        <w:autoSpaceDN/>
        <w:bidi w:val="0"/>
        <w:adjustRightInd w:val="0"/>
        <w:snapToGrid w:val="0"/>
        <w:spacing w:beforeAutospacing="0" w:afterAutospacing="0" w:line="240" w:lineRule="auto"/>
        <w:ind w:firstLine="640" w:firstLineChars="200"/>
        <w:jc w:val="both"/>
        <w:textAlignment w:val="auto"/>
        <w:rPr>
          <w:rFonts w:hint="eastAsia" w:ascii="黑体" w:hAnsi="黑体" w:eastAsia="黑体" w:cs="黑体"/>
          <w:snapToGrid w:val="0"/>
          <w:kern w:val="2"/>
          <w:sz w:val="32"/>
          <w:szCs w:val="32"/>
          <w:shd w:val="clear" w:color="auto" w:fill="FFFFFF"/>
        </w:rPr>
      </w:pPr>
      <w:r>
        <w:rPr>
          <w:rFonts w:hint="eastAsia" w:ascii="黑体" w:hAnsi="黑体" w:eastAsia="黑体" w:cs="黑体"/>
          <w:snapToGrid w:val="0"/>
          <w:kern w:val="2"/>
          <w:sz w:val="32"/>
          <w:szCs w:val="32"/>
          <w:shd w:val="clear" w:color="auto" w:fill="FFFFFF"/>
          <w:lang w:eastAsia="zh-CN"/>
        </w:rPr>
        <w:t>五、</w:t>
      </w:r>
      <w:r>
        <w:rPr>
          <w:rFonts w:hint="eastAsia" w:ascii="黑体" w:hAnsi="黑体" w:eastAsia="黑体" w:cs="黑体"/>
          <w:snapToGrid w:val="0"/>
          <w:kern w:val="2"/>
          <w:sz w:val="32"/>
          <w:szCs w:val="32"/>
          <w:shd w:val="clear" w:color="auto" w:fill="FFFFFF"/>
        </w:rPr>
        <w:t>存在的主要问题及改进情况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本机关在政务公开工作中存在的主要问题有：</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公开信息的质量有待进一步提高，部分信息未按照要求同时提供版式文件下载；</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规范性文件公开有待进一步规范；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公布的政府信息总数较少，涵盖警种不多，不能满足群众对公安工作的了解期盼和监督。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w:t>
      </w: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年度政务公开部分专栏更新频率较低的问题，</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相关部门</w:t>
      </w:r>
      <w:r>
        <w:rPr>
          <w:rFonts w:hint="eastAsia" w:ascii="仿宋_GB2312" w:hAnsi="仿宋_GB2312" w:eastAsia="仿宋_GB2312" w:cs="仿宋_GB2312"/>
          <w:sz w:val="32"/>
          <w:szCs w:val="32"/>
          <w:lang w:eastAsia="zh-CN"/>
        </w:rPr>
        <w:t>派</w:t>
      </w:r>
      <w:r>
        <w:rPr>
          <w:rFonts w:hint="eastAsia" w:ascii="仿宋_GB2312" w:hAnsi="仿宋_GB2312" w:eastAsia="仿宋_GB2312" w:cs="仿宋_GB2312"/>
          <w:sz w:val="32"/>
          <w:szCs w:val="32"/>
        </w:rPr>
        <w:t>专人督促工作，确保每个栏目都按照要求定期更新内容。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厅将针对上述问题，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加强发稿审核和日常巡查检查，及时通报整改相关问题；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督促责任部门及时规范向社会公开行政规范性文件；</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督促更多的警种积极主动公开自身业务的政府信息，满足群众期盼。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厅未向任何申请人收取信息处理费。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144EC"/>
    <w:multiLevelType w:val="singleLevel"/>
    <w:tmpl w:val="B1C144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DRjZGE3ZmQyODIzNmZlNzJmNjFmNzYzYzhjY2EifQ=="/>
  </w:docVars>
  <w:rsids>
    <w:rsidRoot w:val="0E364CC9"/>
    <w:rsid w:val="0E364CC9"/>
    <w:rsid w:val="229A5D5A"/>
    <w:rsid w:val="61A80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spacing w:before="280" w:after="290" w:line="374"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2221</Words>
  <Characters>2310</Characters>
  <Lines>0</Lines>
  <Paragraphs>0</Paragraphs>
  <TotalTime>3</TotalTime>
  <ScaleCrop>false</ScaleCrop>
  <LinksUpToDate>false</LinksUpToDate>
  <CharactersWithSpaces>2315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2023-01-31T10:07:00Z</dcterms:created>
  <dc:creator>Administrator</dc:creator>
  <cp:lastModifiedBy>michael喬</cp:lastModifiedBy>
  <dcterms:modified xsi:type="dcterms:W3CDTF">2023-02-01T02:08:22Z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2703171B54AB47238AC7D3F9B78B7525</vt:lpwstr>
  </property>
</Properties>
</file>