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方正小标宋简体" w:hAnsi="Times New Roman" w:eastAsia="方正小标宋简体" w:cs="Times New Roman"/>
          <w:sz w:val="44"/>
          <w:szCs w:val="44"/>
          <w:shd w:val="clear" w:color="auto" w:fill="auto"/>
        </w:rPr>
      </w:pPr>
    </w:p>
    <w:p>
      <w:pPr>
        <w:adjustRightInd w:val="0"/>
        <w:snapToGrid w:val="0"/>
        <w:spacing w:line="560" w:lineRule="exact"/>
        <w:ind w:right="-218" w:rightChars="-104"/>
        <w:jc w:val="center"/>
        <w:rPr>
          <w:rFonts w:hint="eastAsia" w:ascii="黑体" w:hAnsi="宋体" w:eastAsia="方正小标宋简体"/>
          <w:bCs/>
          <w:szCs w:val="32"/>
          <w:lang w:eastAsia="zh-CN"/>
        </w:rPr>
      </w:pPr>
      <w:r>
        <w:rPr>
          <w:rFonts w:hint="eastAsia" w:ascii="方正小标宋简体" w:eastAsia="方正小标宋简体"/>
          <w:sz w:val="44"/>
          <w:szCs w:val="44"/>
          <w:lang w:eastAsia="zh-CN"/>
        </w:rPr>
        <w:t>广西壮族自治区公安厅直属森林公安二分局博林派出所</w:t>
      </w:r>
      <w:r>
        <w:rPr>
          <w:rFonts w:hint="eastAsia" w:ascii="方正小标宋简体" w:eastAsia="方正小标宋简体"/>
          <w:sz w:val="44"/>
          <w:szCs w:val="44"/>
          <w:lang w:val="en-US" w:eastAsia="zh-CN"/>
        </w:rPr>
        <w:t>2026</w:t>
      </w:r>
      <w:r>
        <w:rPr>
          <w:rFonts w:hint="eastAsia" w:ascii="方正小标宋简体" w:eastAsia="方正小标宋简体"/>
          <w:sz w:val="44"/>
          <w:szCs w:val="44"/>
        </w:rPr>
        <w:t>年单位预算公开</w:t>
      </w:r>
      <w:r>
        <w:rPr>
          <w:rFonts w:hint="eastAsia" w:ascii="方正小标宋简体" w:eastAsia="方正小标宋简体"/>
          <w:sz w:val="44"/>
          <w:szCs w:val="44"/>
          <w:lang w:eastAsia="zh-CN"/>
        </w:rPr>
        <w:t>说明</w:t>
      </w:r>
    </w:p>
    <w:p>
      <w:pPr>
        <w:adjustRightInd w:val="0"/>
        <w:snapToGrid w:val="0"/>
        <w:spacing w:line="560" w:lineRule="exact"/>
        <w:ind w:right="-218" w:rightChars="-104"/>
        <w:jc w:val="center"/>
        <w:rPr>
          <w:rFonts w:hint="eastAsia" w:ascii="黑体" w:hAnsi="宋体" w:eastAsia="黑体"/>
          <w:bCs/>
          <w:szCs w:val="32"/>
        </w:rPr>
      </w:pPr>
    </w:p>
    <w:p>
      <w:pPr>
        <w:adjustRightInd w:val="0"/>
        <w:snapToGrid w:val="0"/>
        <w:spacing w:line="560" w:lineRule="exact"/>
        <w:ind w:right="-218" w:rightChars="-104"/>
        <w:jc w:val="center"/>
        <w:rPr>
          <w:rFonts w:hint="eastAsia" w:ascii="黑体" w:hAnsi="宋体" w:eastAsia="黑体"/>
          <w:bCs/>
          <w:sz w:val="32"/>
          <w:szCs w:val="32"/>
        </w:rPr>
      </w:pPr>
      <w:r>
        <w:rPr>
          <w:rFonts w:hint="eastAsia" w:ascii="黑体" w:hAnsi="宋体" w:eastAsia="黑体"/>
          <w:bCs/>
          <w:sz w:val="32"/>
          <w:szCs w:val="32"/>
        </w:rPr>
        <w:t>目  录</w:t>
      </w:r>
    </w:p>
    <w:p>
      <w:pPr>
        <w:adjustRightInd w:val="0"/>
        <w:snapToGrid w:val="0"/>
        <w:spacing w:line="560" w:lineRule="exact"/>
        <w:ind w:right="-218" w:rightChars="-104" w:firstLine="640" w:firstLineChars="200"/>
        <w:rPr>
          <w:rFonts w:hint="eastAsia" w:ascii="黑体" w:hAnsi="宋体" w:eastAsia="黑体"/>
          <w:bCs/>
          <w:sz w:val="32"/>
          <w:szCs w:val="32"/>
        </w:rPr>
      </w:pP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hAnsi="宋体" w:eastAsia="黑体"/>
          <w:bCs/>
          <w:sz w:val="32"/>
          <w:szCs w:val="32"/>
        </w:rPr>
        <w:t>第一部分：单位概况</w:t>
      </w:r>
    </w:p>
    <w:p>
      <w:pPr>
        <w:adjustRightInd w:val="0"/>
        <w:snapToGrid w:val="0"/>
        <w:spacing w:line="560" w:lineRule="exact"/>
        <w:ind w:right="-218" w:rightChars="-104" w:firstLine="640" w:firstLineChars="200"/>
        <w:rPr>
          <w:rFonts w:hint="eastAsia" w:ascii="黑体" w:hAnsi="宋体" w:eastAsia="黑体"/>
          <w:bCs/>
          <w:sz w:val="32"/>
          <w:szCs w:val="32"/>
        </w:rPr>
      </w:pP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eastAsia="黑体"/>
          <w:sz w:val="32"/>
          <w:szCs w:val="32"/>
        </w:rPr>
        <w:t>第二部分：</w:t>
      </w:r>
      <w:r>
        <w:rPr>
          <w:rFonts w:hint="eastAsia" w:ascii="黑体" w:hAnsi="宋体" w:eastAsia="黑体"/>
          <w:sz w:val="32"/>
          <w:szCs w:val="32"/>
          <w:lang w:eastAsia="zh-CN"/>
        </w:rPr>
        <w:t>广西壮族自治区公安厅直属森林公安二分局博林派出所</w:t>
      </w:r>
      <w:r>
        <w:rPr>
          <w:rFonts w:hint="eastAsia" w:ascii="黑体" w:hAnsi="宋体" w:eastAsia="黑体"/>
          <w:sz w:val="32"/>
          <w:szCs w:val="32"/>
        </w:rPr>
        <w:t>202</w:t>
      </w:r>
      <w:r>
        <w:rPr>
          <w:rFonts w:hint="eastAsia" w:ascii="黑体" w:hAnsi="宋体" w:eastAsia="黑体"/>
          <w:sz w:val="32"/>
          <w:szCs w:val="32"/>
          <w:lang w:val="en-US" w:eastAsia="zh-CN"/>
        </w:rPr>
        <w:t>6</w:t>
      </w:r>
      <w:r>
        <w:rPr>
          <w:rFonts w:hint="eastAsia" w:ascii="黑体" w:hAnsi="宋体" w:eastAsia="黑体"/>
          <w:sz w:val="32"/>
          <w:szCs w:val="32"/>
        </w:rPr>
        <w:t>年</w:t>
      </w:r>
      <w:r>
        <w:rPr>
          <w:rFonts w:hint="eastAsia" w:ascii="黑体" w:eastAsia="黑体"/>
          <w:sz w:val="32"/>
          <w:szCs w:val="32"/>
        </w:rPr>
        <w:t>单位预算情况说明</w:t>
      </w:r>
    </w:p>
    <w:p>
      <w:pPr>
        <w:adjustRightInd w:val="0"/>
        <w:snapToGrid w:val="0"/>
        <w:spacing w:line="560" w:lineRule="exact"/>
        <w:ind w:right="-218" w:rightChars="-104" w:firstLine="640" w:firstLineChars="200"/>
        <w:rPr>
          <w:rFonts w:hint="eastAsia" w:ascii="黑体" w:hAnsi="宋体" w:eastAsia="黑体"/>
          <w:bCs/>
          <w:sz w:val="32"/>
          <w:szCs w:val="32"/>
        </w:rPr>
      </w:pP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eastAsia="黑体"/>
          <w:sz w:val="32"/>
          <w:szCs w:val="32"/>
        </w:rPr>
        <w:t>第三部分：名词解释</w:t>
      </w:r>
    </w:p>
    <w:p>
      <w:pPr>
        <w:adjustRightInd w:val="0"/>
        <w:snapToGrid w:val="0"/>
        <w:spacing w:line="560" w:lineRule="exact"/>
        <w:ind w:right="-218" w:rightChars="-104" w:firstLine="640" w:firstLineChars="200"/>
        <w:rPr>
          <w:rFonts w:hint="eastAsia" w:ascii="黑体" w:hAnsi="宋体" w:eastAsia="黑体"/>
          <w:bCs/>
          <w:sz w:val="32"/>
          <w:szCs w:val="32"/>
        </w:rPr>
      </w:pPr>
    </w:p>
    <w:p>
      <w:pPr>
        <w:adjustRightInd w:val="0"/>
        <w:snapToGrid w:val="0"/>
        <w:spacing w:line="560" w:lineRule="exact"/>
        <w:ind w:right="-218" w:rightChars="-104" w:firstLine="640" w:firstLineChars="200"/>
        <w:rPr>
          <w:rFonts w:hint="eastAsia" w:ascii="黑体" w:hAnsi="宋体" w:eastAsia="黑体"/>
          <w:bCs/>
          <w:sz w:val="32"/>
          <w:szCs w:val="32"/>
        </w:rPr>
      </w:pPr>
      <w:r>
        <w:rPr>
          <w:rFonts w:hint="eastAsia" w:ascii="黑体" w:hAnsi="宋体" w:eastAsia="黑体"/>
          <w:bCs/>
          <w:sz w:val="32"/>
          <w:szCs w:val="32"/>
        </w:rPr>
        <w:t>第四部分：</w:t>
      </w:r>
      <w:r>
        <w:rPr>
          <w:rFonts w:hint="eastAsia" w:ascii="黑体" w:hAnsi="宋体" w:eastAsia="黑体"/>
          <w:sz w:val="32"/>
          <w:szCs w:val="32"/>
          <w:lang w:eastAsia="zh-CN"/>
        </w:rPr>
        <w:t>广西壮族自治区公安厅直属森林公安二分局博林派出所</w:t>
      </w:r>
      <w:r>
        <w:rPr>
          <w:rFonts w:hint="eastAsia" w:ascii="黑体" w:hAnsi="宋体" w:eastAsia="黑体"/>
          <w:sz w:val="32"/>
          <w:szCs w:val="32"/>
        </w:rPr>
        <w:t>202</w:t>
      </w:r>
      <w:r>
        <w:rPr>
          <w:rFonts w:hint="eastAsia" w:ascii="黑体" w:hAnsi="宋体" w:eastAsia="黑体"/>
          <w:sz w:val="32"/>
          <w:szCs w:val="32"/>
          <w:lang w:val="en-US" w:eastAsia="zh-CN"/>
        </w:rPr>
        <w:t>6</w:t>
      </w:r>
      <w:r>
        <w:rPr>
          <w:rFonts w:hint="eastAsia" w:ascii="黑体" w:hAnsi="宋体" w:eastAsia="黑体"/>
          <w:sz w:val="32"/>
          <w:szCs w:val="32"/>
        </w:rPr>
        <w:t>年</w:t>
      </w:r>
      <w:r>
        <w:rPr>
          <w:rFonts w:hint="eastAsia" w:ascii="黑体" w:eastAsia="黑体"/>
          <w:sz w:val="32"/>
          <w:szCs w:val="32"/>
        </w:rPr>
        <w:t>单位预算公开报表</w:t>
      </w:r>
    </w:p>
    <w:p>
      <w:pPr>
        <w:adjustRightInd w:val="0"/>
        <w:snapToGrid w:val="0"/>
        <w:spacing w:line="560" w:lineRule="exact"/>
        <w:ind w:right="-218" w:rightChars="-104" w:firstLine="640" w:firstLineChars="200"/>
        <w:rPr>
          <w:rFonts w:hint="eastAsia" w:ascii="黑体" w:hAnsi="宋体" w:eastAsia="黑体"/>
          <w:bCs/>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5"/>
        <w:jc w:val="both"/>
        <w:textAlignment w:val="auto"/>
        <w:rPr>
          <w:rFonts w:hint="eastAsia" w:ascii="黑体" w:hAnsi="宋体" w:eastAsia="黑体" w:cs="黑体"/>
          <w:i w:val="0"/>
          <w:caps w:val="0"/>
          <w:color w:val="auto"/>
          <w:spacing w:val="0"/>
          <w:sz w:val="31"/>
          <w:szCs w:val="31"/>
          <w:shd w:val="clear" w:fill="FFFFFF"/>
        </w:rPr>
      </w:pPr>
    </w:p>
    <w:p>
      <w:pPr>
        <w:tabs>
          <w:tab w:val="center" w:pos="4475"/>
        </w:tabs>
        <w:spacing w:line="560" w:lineRule="exact"/>
        <w:ind w:firstLine="645"/>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第一部分：单位概况</w:t>
      </w:r>
    </w:p>
    <w:p>
      <w:pPr>
        <w:tabs>
          <w:tab w:val="center" w:pos="4475"/>
        </w:tabs>
        <w:spacing w:line="560" w:lineRule="exact"/>
        <w:ind w:firstLine="645"/>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一、主要职能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5"/>
        <w:jc w:val="both"/>
        <w:textAlignment w:val="auto"/>
        <w:rPr>
          <w:rFonts w:hint="eastAsia" w:ascii="仿宋_GB2312" w:hAnsi="微软雅黑" w:eastAsia="仿宋_GB2312" w:cs="仿宋_GB2312"/>
          <w:i w:val="0"/>
          <w:caps w:val="0"/>
          <w:color w:val="auto"/>
          <w:spacing w:val="0"/>
          <w:kern w:val="0"/>
          <w:sz w:val="32"/>
          <w:szCs w:val="32"/>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自治区公安厅直属森林公安二分局博林派出所主要职责是：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微软雅黑" w:eastAsia="仿宋_GB2312" w:cs="仿宋_GB2312"/>
          <w:i w:val="0"/>
          <w:caps w:val="0"/>
          <w:color w:val="auto"/>
          <w:spacing w:val="0"/>
          <w:kern w:val="0"/>
          <w:sz w:val="32"/>
          <w:szCs w:val="32"/>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（一）负责实施本辖区所管护林区和草原的治安管理工作，协助对应的林业主管部门做好维护林区稳定工作。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微软雅黑" w:eastAsia="仿宋_GB2312" w:cs="仿宋_GB2312"/>
          <w:i w:val="0"/>
          <w:caps w:val="0"/>
          <w:color w:val="auto"/>
          <w:spacing w:val="0"/>
          <w:kern w:val="0"/>
          <w:sz w:val="32"/>
          <w:szCs w:val="32"/>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（二）办理本辖区涉及森林和草原刑事案件、治安案件和法律规定的相关行政案件。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微软雅黑" w:eastAsia="仿宋_GB2312" w:cs="仿宋_GB2312"/>
          <w:i w:val="0"/>
          <w:caps w:val="0"/>
          <w:color w:val="auto"/>
          <w:spacing w:val="0"/>
          <w:kern w:val="0"/>
          <w:sz w:val="32"/>
          <w:szCs w:val="32"/>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（三）实施本辖区的森林和草原防火相关工作，负责火场警戒、交通疏导、治安维护、火案侦破等。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微软雅黑" w:eastAsia="仿宋_GB2312" w:cs="仿宋_GB2312"/>
          <w:i w:val="0"/>
          <w:caps w:val="0"/>
          <w:color w:val="auto"/>
          <w:spacing w:val="0"/>
          <w:kern w:val="0"/>
          <w:sz w:val="31"/>
          <w:szCs w:val="31"/>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（四）协同对应的林业主管部门开展防火宣传、火灾隐患排查、重点区域巡护、违规用火处罚等工作</w:t>
      </w:r>
      <w:r>
        <w:rPr>
          <w:rFonts w:hint="eastAsia" w:ascii="仿宋_GB2312" w:hAnsi="微软雅黑" w:eastAsia="仿宋_GB2312" w:cs="仿宋_GB2312"/>
          <w:i w:val="0"/>
          <w:caps w:val="0"/>
          <w:color w:val="auto"/>
          <w:spacing w:val="0"/>
          <w:kern w:val="0"/>
          <w:sz w:val="31"/>
          <w:szCs w:val="31"/>
          <w:shd w:val="clear" w:fill="FFFFFF"/>
          <w:lang w:val="en-US" w:eastAsia="zh-CN" w:bidi="ar"/>
        </w:rPr>
        <w:t>。</w:t>
      </w:r>
    </w:p>
    <w:p>
      <w:pPr>
        <w:tabs>
          <w:tab w:val="center" w:pos="4475"/>
        </w:tabs>
        <w:spacing w:line="560" w:lineRule="exact"/>
        <w:ind w:firstLine="645"/>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二、机构设置情况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微软雅黑" w:eastAsia="仿宋_GB2312" w:cs="仿宋_GB2312"/>
          <w:i w:val="0"/>
          <w:caps w:val="0"/>
          <w:color w:val="auto"/>
          <w:spacing w:val="0"/>
          <w:kern w:val="0"/>
          <w:sz w:val="32"/>
          <w:szCs w:val="32"/>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自治区公安厅直属森林公安二分局博林派出所是自治区公安厅三级预算单位。机构设置：派出所编制民警21人、内设领导职务：所长1人，教导员1人，副所长3人。</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lang w:val="en-US" w:eastAsia="zh-CN"/>
        </w:rPr>
        <w:t>三</w:t>
      </w:r>
      <w:r>
        <w:rPr>
          <w:rFonts w:hint="eastAsia" w:ascii="黑体" w:hAnsi="Times New Roman" w:eastAsia="黑体" w:cs="Times New Roman"/>
          <w:sz w:val="32"/>
          <w:szCs w:val="32"/>
          <w:lang w:eastAsia="zh-CN"/>
        </w:rPr>
        <w:t>、</w:t>
      </w:r>
      <w:r>
        <w:rPr>
          <w:rFonts w:hint="eastAsia" w:ascii="黑体" w:hAnsi="Times New Roman" w:eastAsia="黑体" w:cs="Times New Roman"/>
          <w:sz w:val="32"/>
          <w:szCs w:val="32"/>
        </w:rPr>
        <w:t>人员</w:t>
      </w:r>
      <w:r>
        <w:rPr>
          <w:rFonts w:hint="eastAsia" w:ascii="黑体" w:hAnsi="Times New Roman" w:eastAsia="黑体" w:cs="Times New Roman"/>
          <w:sz w:val="32"/>
          <w:szCs w:val="32"/>
          <w:lang w:val="en-US" w:eastAsia="zh-CN"/>
        </w:rPr>
        <w:t>构成</w:t>
      </w:r>
      <w:r>
        <w:rPr>
          <w:rFonts w:hint="eastAsia" w:ascii="黑体" w:hAnsi="Times New Roman" w:eastAsia="黑体" w:cs="Times New Roman"/>
          <w:sz w:val="32"/>
          <w:szCs w:val="32"/>
        </w:rPr>
        <w:t>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现有行政编制21人，实有在编人数16人，退休人数11人，</w:t>
      </w:r>
      <w:r>
        <w:rPr>
          <w:rFonts w:hint="eastAsia" w:ascii="仿宋_GB2312" w:hAnsi="仿宋_GB2312" w:eastAsia="仿宋_GB2312" w:cs="仿宋_GB2312"/>
          <w:color w:val="auto"/>
          <w:sz w:val="32"/>
          <w:szCs w:val="32"/>
        </w:rPr>
        <w:t>后勤服务聘用人员控制数</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实有工勤人员</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i w:val="0"/>
          <w:caps w:val="0"/>
          <w:color w:val="auto"/>
          <w:spacing w:val="0"/>
          <w:kern w:val="0"/>
          <w:sz w:val="32"/>
          <w:szCs w:val="32"/>
          <w:shd w:val="clear" w:fill="FFFFFF"/>
          <w:lang w:val="en-US" w:eastAsia="zh-CN" w:bidi="ar"/>
        </w:rPr>
        <w:t>。</w:t>
      </w:r>
      <w:r>
        <w:rPr>
          <w:rFonts w:hint="eastAsia" w:ascii="仿宋_GB2312" w:hAnsi="仿宋_GB2312" w:eastAsia="仿宋_GB2312" w:cs="仿宋_GB2312"/>
          <w:color w:val="auto"/>
          <w:sz w:val="32"/>
          <w:szCs w:val="32"/>
        </w:rPr>
        <w:t>按职级划分，现有一级、二级警长</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人，三级警长</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val="en-US" w:eastAsia="zh-CN"/>
        </w:rPr>
        <w:t>一级警员2名。</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rPr>
        <w:t>第二部分：博林派出所202</w:t>
      </w:r>
      <w:r>
        <w:rPr>
          <w:rFonts w:hint="eastAsia" w:ascii="黑体" w:hAnsi="Times New Roman" w:eastAsia="黑体" w:cs="Times New Roman"/>
          <w:sz w:val="32"/>
          <w:szCs w:val="32"/>
          <w:lang w:val="en-US" w:eastAsia="zh-CN"/>
        </w:rPr>
        <w:t>6</w:t>
      </w:r>
      <w:r>
        <w:rPr>
          <w:rFonts w:hint="eastAsia" w:ascii="黑体" w:hAnsi="Times New Roman" w:eastAsia="黑体" w:cs="Times New Roman"/>
          <w:sz w:val="32"/>
          <w:szCs w:val="32"/>
        </w:rPr>
        <w:t>年部门预算情况说明</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rPr>
        <w:t>一、</w:t>
      </w:r>
      <w:r>
        <w:rPr>
          <w:rFonts w:hint="eastAsia" w:ascii="黑体" w:hAnsi="Times New Roman" w:eastAsia="黑体" w:cs="Times New Roman"/>
          <w:sz w:val="32"/>
          <w:szCs w:val="32"/>
          <w:lang w:eastAsia="zh-CN"/>
        </w:rPr>
        <w:t>单位</w:t>
      </w:r>
      <w:r>
        <w:rPr>
          <w:rFonts w:hint="eastAsia" w:ascii="黑体" w:hAnsi="Times New Roman" w:eastAsia="黑体" w:cs="Times New Roman"/>
          <w:sz w:val="32"/>
          <w:szCs w:val="32"/>
        </w:rPr>
        <w:t>收支总体情况说明</w:t>
      </w:r>
    </w:p>
    <w:p>
      <w:pPr>
        <w:tabs>
          <w:tab w:val="center" w:pos="4475"/>
        </w:tabs>
        <w:spacing w:line="560" w:lineRule="exact"/>
        <w:ind w:firstLine="645"/>
        <w:rPr>
          <w:rFonts w:hint="eastAsia" w:ascii="仿宋_GB2312" w:eastAsia="仿宋_GB2312"/>
          <w:sz w:val="32"/>
          <w:szCs w:val="32"/>
          <w:highlight w:val="none"/>
          <w:lang w:val="en-US" w:eastAsia="zh-CN"/>
        </w:rPr>
      </w:pPr>
      <w:r>
        <w:rPr>
          <w:rFonts w:hint="eastAsia" w:ascii="仿宋_GB2312" w:hAnsi="微软雅黑" w:eastAsia="仿宋_GB2312" w:cs="仿宋_GB2312"/>
          <w:i w:val="0"/>
          <w:caps w:val="0"/>
          <w:color w:val="auto"/>
          <w:spacing w:val="0"/>
          <w:kern w:val="0"/>
          <w:sz w:val="32"/>
          <w:szCs w:val="32"/>
          <w:shd w:val="clear" w:fill="FFFFFF"/>
          <w:lang w:val="en-US" w:eastAsia="zh-CN" w:bidi="ar"/>
        </w:rPr>
        <w:t>2026年总收入521.89万元，总支出521.89万元</w:t>
      </w:r>
      <w:r>
        <w:rPr>
          <w:rFonts w:hint="eastAsia" w:ascii="仿宋_GB2312" w:eastAsia="仿宋_GB2312"/>
          <w:sz w:val="32"/>
          <w:szCs w:val="32"/>
          <w:highlight w:val="none"/>
          <w:lang w:eastAsia="zh-CN"/>
        </w:rPr>
        <w:t>（不含财政拨款上年未列支结转收支数）</w:t>
      </w:r>
      <w:r>
        <w:rPr>
          <w:rFonts w:hint="eastAsia" w:ascii="仿宋_GB2312" w:hAnsi="微软雅黑" w:eastAsia="仿宋_GB2312" w:cs="仿宋_GB2312"/>
          <w:i w:val="0"/>
          <w:caps w:val="0"/>
          <w:color w:val="auto"/>
          <w:spacing w:val="0"/>
          <w:kern w:val="0"/>
          <w:sz w:val="32"/>
          <w:szCs w:val="32"/>
          <w:shd w:val="clear" w:fill="FFFFFF"/>
          <w:lang w:val="en-US" w:eastAsia="zh-CN" w:bidi="ar"/>
        </w:rPr>
        <w:t>。总收入较上年增加了34.17万元，增长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7.01％</w:t>
      </w:r>
      <w:r>
        <w:rPr>
          <w:rFonts w:hint="eastAsia" w:ascii="仿宋_GB2312" w:hAnsi="微软雅黑" w:eastAsia="仿宋_GB2312" w:cs="仿宋_GB2312"/>
          <w:i w:val="0"/>
          <w:caps w:val="0"/>
          <w:color w:val="auto"/>
          <w:spacing w:val="0"/>
          <w:kern w:val="0"/>
          <w:sz w:val="32"/>
          <w:szCs w:val="32"/>
          <w:shd w:val="clear" w:fill="FFFFFF"/>
          <w:lang w:val="en-US" w:eastAsia="zh-CN" w:bidi="ar"/>
        </w:rPr>
        <w:t>，主要原因是人员</w:t>
      </w:r>
      <w:r>
        <w:rPr>
          <w:rFonts w:hint="eastAsia" w:ascii="仿宋_GB2312" w:eastAsia="仿宋_GB2312"/>
          <w:sz w:val="32"/>
          <w:szCs w:val="32"/>
          <w:highlight w:val="none"/>
          <w:lang w:val="en-US" w:eastAsia="zh-CN"/>
        </w:rPr>
        <w:t>晋职晋级工资增加，按照柳州津补贴标准，人员经费增加，增加了公务员医疗补助方面费用</w:t>
      </w:r>
      <w:r>
        <w:rPr>
          <w:rFonts w:hint="eastAsia" w:ascii="仿宋_GB2312" w:hAnsi="微软雅黑" w:eastAsia="仿宋_GB2312" w:cs="仿宋_GB2312"/>
          <w:i w:val="0"/>
          <w:caps w:val="0"/>
          <w:color w:val="auto"/>
          <w:spacing w:val="0"/>
          <w:kern w:val="0"/>
          <w:sz w:val="32"/>
          <w:szCs w:val="32"/>
          <w:shd w:val="clear" w:fill="FFFFFF"/>
          <w:lang w:val="en-US" w:eastAsia="zh-CN" w:bidi="ar"/>
        </w:rPr>
        <w:t>。总支出较上年增加了34.17万元，增长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7.01％</w:t>
      </w:r>
      <w:r>
        <w:rPr>
          <w:rFonts w:hint="eastAsia" w:ascii="仿宋_GB2312" w:hAnsi="微软雅黑" w:eastAsia="仿宋_GB2312" w:cs="仿宋_GB2312"/>
          <w:i w:val="0"/>
          <w:caps w:val="0"/>
          <w:color w:val="auto"/>
          <w:spacing w:val="0"/>
          <w:kern w:val="0"/>
          <w:sz w:val="32"/>
          <w:szCs w:val="32"/>
          <w:shd w:val="clear" w:fill="FFFFFF"/>
          <w:lang w:val="en-US" w:eastAsia="zh-CN" w:bidi="ar"/>
        </w:rPr>
        <w:t>，，主</w:t>
      </w:r>
      <w:r>
        <w:rPr>
          <w:rFonts w:hint="eastAsia" w:ascii="仿宋_GB2312" w:eastAsia="仿宋_GB2312"/>
          <w:sz w:val="32"/>
          <w:szCs w:val="32"/>
          <w:highlight w:val="none"/>
          <w:lang w:val="en-US" w:eastAsia="zh-CN"/>
        </w:rPr>
        <w:t>要原因：</w:t>
      </w:r>
      <w:r>
        <w:rPr>
          <w:rFonts w:hint="eastAsia" w:ascii="仿宋_GB2312" w:hAnsi="微软雅黑" w:eastAsia="仿宋_GB2312" w:cs="仿宋_GB2312"/>
          <w:i w:val="0"/>
          <w:caps w:val="0"/>
          <w:color w:val="auto"/>
          <w:spacing w:val="0"/>
          <w:kern w:val="0"/>
          <w:sz w:val="32"/>
          <w:szCs w:val="32"/>
          <w:shd w:val="clear" w:fill="FFFFFF"/>
          <w:lang w:val="en-US" w:eastAsia="zh-CN" w:bidi="ar"/>
        </w:rPr>
        <w:t>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rPr>
        <w:t>二、</w:t>
      </w:r>
      <w:r>
        <w:rPr>
          <w:rFonts w:hint="eastAsia" w:ascii="黑体" w:hAnsi="Times New Roman" w:eastAsia="黑体" w:cs="Times New Roman"/>
          <w:sz w:val="32"/>
          <w:szCs w:val="32"/>
          <w:lang w:eastAsia="zh-CN"/>
        </w:rPr>
        <w:t>单位</w:t>
      </w:r>
      <w:r>
        <w:rPr>
          <w:rFonts w:hint="eastAsia" w:ascii="黑体" w:hAnsi="Times New Roman" w:eastAsia="黑体" w:cs="Times New Roman"/>
          <w:sz w:val="32"/>
          <w:szCs w:val="32"/>
        </w:rPr>
        <w:t>收入总体情况说明</w:t>
      </w:r>
    </w:p>
    <w:p>
      <w:pPr>
        <w:tabs>
          <w:tab w:val="center" w:pos="4475"/>
        </w:tabs>
        <w:spacing w:line="560" w:lineRule="exact"/>
        <w:ind w:firstLine="645"/>
        <w:rPr>
          <w:rFonts w:hint="eastAsia" w:ascii="仿宋_GB2312" w:hAnsi="微软雅黑" w:eastAsia="仿宋_GB2312" w:cs="仿宋_GB2312"/>
          <w:i w:val="0"/>
          <w:caps w:val="0"/>
          <w:color w:val="auto"/>
          <w:spacing w:val="0"/>
          <w:kern w:val="0"/>
          <w:sz w:val="32"/>
          <w:szCs w:val="32"/>
          <w:shd w:val="clear" w:fill="FFFFFF"/>
          <w:lang w:val="en-US" w:eastAsia="zh-CN" w:bidi="ar"/>
        </w:rPr>
      </w:pPr>
      <w:r>
        <w:rPr>
          <w:rFonts w:hint="eastAsia" w:ascii="仿宋_GB2312" w:hAnsi="微软雅黑" w:eastAsia="仿宋_GB2312" w:cs="仿宋_GB2312"/>
          <w:i w:val="0"/>
          <w:caps w:val="0"/>
          <w:color w:val="auto"/>
          <w:spacing w:val="0"/>
          <w:kern w:val="0"/>
          <w:sz w:val="32"/>
          <w:szCs w:val="32"/>
          <w:shd w:val="clear" w:fill="FFFFFF"/>
          <w:lang w:val="en-US" w:eastAsia="zh-CN" w:bidi="ar"/>
        </w:rPr>
        <w:t>2026年收入总预算521.89万元，较上年增加34.17万元，增长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7.01％</w:t>
      </w:r>
      <w:r>
        <w:rPr>
          <w:rFonts w:hint="eastAsia" w:ascii="仿宋_GB2312" w:hAnsi="微软雅黑" w:eastAsia="仿宋_GB2312" w:cs="仿宋_GB2312"/>
          <w:i w:val="0"/>
          <w:caps w:val="0"/>
          <w:color w:val="auto"/>
          <w:spacing w:val="0"/>
          <w:kern w:val="0"/>
          <w:sz w:val="32"/>
          <w:szCs w:val="32"/>
          <w:shd w:val="clear" w:fill="FFFFFF"/>
          <w:lang w:val="en-US" w:eastAsia="zh-CN" w:bidi="ar"/>
        </w:rPr>
        <w:t>。主要原因：人员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rPr>
        <w:t>三、</w:t>
      </w:r>
      <w:r>
        <w:rPr>
          <w:rFonts w:hint="eastAsia" w:ascii="黑体" w:hAnsi="Times New Roman" w:eastAsia="黑体" w:cs="Times New Roman"/>
          <w:sz w:val="32"/>
          <w:szCs w:val="32"/>
          <w:lang w:eastAsia="zh-CN"/>
        </w:rPr>
        <w:t>单位</w:t>
      </w:r>
      <w:r>
        <w:rPr>
          <w:rFonts w:hint="eastAsia" w:ascii="黑体" w:hAnsi="Times New Roman" w:eastAsia="黑体" w:cs="Times New Roman"/>
          <w:sz w:val="32"/>
          <w:szCs w:val="32"/>
        </w:rPr>
        <w:t>支出总体情况说明</w:t>
      </w:r>
    </w:p>
    <w:p>
      <w:pPr>
        <w:tabs>
          <w:tab w:val="center" w:pos="4475"/>
        </w:tabs>
        <w:spacing w:line="560" w:lineRule="exact"/>
        <w:ind w:firstLine="645"/>
        <w:rPr>
          <w:rFonts w:hint="eastAsia" w:ascii="仿宋_GB2312" w:eastAsia="仿宋_GB2312"/>
          <w:sz w:val="32"/>
          <w:szCs w:val="32"/>
          <w:highlight w:val="none"/>
          <w:lang w:val="en-US" w:eastAsia="zh-CN"/>
        </w:rPr>
      </w:pPr>
      <w:r>
        <w:rPr>
          <w:rFonts w:hint="eastAsia" w:ascii="仿宋_GB2312" w:hAnsi="微软雅黑" w:eastAsia="仿宋_GB2312" w:cs="仿宋_GB2312"/>
          <w:i w:val="0"/>
          <w:caps w:val="0"/>
          <w:color w:val="auto"/>
          <w:spacing w:val="0"/>
          <w:kern w:val="0"/>
          <w:sz w:val="32"/>
          <w:szCs w:val="32"/>
          <w:shd w:val="clear" w:fill="FFFFFF"/>
          <w:lang w:val="en-US" w:eastAsia="zh-CN" w:bidi="ar"/>
        </w:rPr>
        <w:t>2026年支出总预算521.89万元，较上年增加34.17万元，增长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7.01％</w:t>
      </w:r>
      <w:r>
        <w:rPr>
          <w:rFonts w:hint="eastAsia" w:ascii="仿宋_GB2312" w:hAnsi="微软雅黑" w:eastAsia="仿宋_GB2312" w:cs="仿宋_GB2312"/>
          <w:i w:val="0"/>
          <w:caps w:val="0"/>
          <w:color w:val="auto"/>
          <w:spacing w:val="0"/>
          <w:kern w:val="0"/>
          <w:sz w:val="32"/>
          <w:szCs w:val="32"/>
          <w:shd w:val="clear" w:fill="FFFFFF"/>
          <w:lang w:val="en-US" w:eastAsia="zh-CN" w:bidi="ar"/>
        </w:rPr>
        <w:t>，主要原因：人员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rPr>
        <w:t>四、财政拨款收支总体情况说明</w:t>
      </w:r>
    </w:p>
    <w:p>
      <w:pPr>
        <w:tabs>
          <w:tab w:val="center" w:pos="4475"/>
        </w:tabs>
        <w:spacing w:line="560" w:lineRule="exact"/>
        <w:ind w:firstLine="645"/>
        <w:rPr>
          <w:rFonts w:hint="eastAsia" w:ascii="黑体" w:hAnsi="宋体" w:eastAsia="黑体" w:cs="黑体"/>
          <w:i w:val="0"/>
          <w:caps w:val="0"/>
          <w:color w:val="auto"/>
          <w:spacing w:val="0"/>
          <w:sz w:val="32"/>
          <w:szCs w:val="32"/>
          <w:shd w:val="clear" w:fill="FFFFFF"/>
        </w:rPr>
      </w:pPr>
      <w:r>
        <w:rPr>
          <w:rFonts w:hint="eastAsia" w:ascii="仿宋_GB2312" w:hAnsi="微软雅黑" w:eastAsia="仿宋_GB2312" w:cs="仿宋_GB2312"/>
          <w:i w:val="0"/>
          <w:caps w:val="0"/>
          <w:color w:val="auto"/>
          <w:spacing w:val="0"/>
          <w:kern w:val="0"/>
          <w:sz w:val="32"/>
          <w:szCs w:val="32"/>
          <w:shd w:val="clear" w:fill="FFFFFF"/>
          <w:lang w:val="en-US" w:eastAsia="zh-CN" w:bidi="ar"/>
        </w:rPr>
        <w:t>2026年财政拨款总收入预算521.89万元，总支出521.89万元</w:t>
      </w:r>
      <w:r>
        <w:rPr>
          <w:rFonts w:hint="eastAsia" w:ascii="仿宋_GB2312" w:eastAsia="仿宋_GB2312"/>
          <w:sz w:val="32"/>
          <w:szCs w:val="32"/>
          <w:highlight w:val="none"/>
          <w:lang w:eastAsia="zh-CN"/>
        </w:rPr>
        <w:t>（不含财政拨款上年未列支结转收支数）。</w:t>
      </w:r>
      <w:r>
        <w:rPr>
          <w:rFonts w:hint="eastAsia" w:ascii="仿宋_GB2312" w:eastAsia="仿宋_GB2312"/>
          <w:sz w:val="32"/>
          <w:szCs w:val="32"/>
        </w:rPr>
        <w:t>财政拨款</w:t>
      </w:r>
      <w:r>
        <w:rPr>
          <w:rFonts w:hint="eastAsia" w:ascii="仿宋_GB2312" w:eastAsia="仿宋_GB2312"/>
          <w:sz w:val="32"/>
          <w:szCs w:val="32"/>
          <w:lang w:eastAsia="zh-CN"/>
        </w:rPr>
        <w:t>总</w:t>
      </w:r>
      <w:r>
        <w:rPr>
          <w:rFonts w:hint="eastAsia" w:ascii="仿宋_GB2312" w:hAnsi="仿宋_GB2312" w:eastAsia="仿宋_GB2312" w:cs="仿宋_GB2312"/>
          <w:sz w:val="32"/>
          <w:szCs w:val="32"/>
          <w:lang w:eastAsia="zh-CN"/>
        </w:rPr>
        <w:t>收入</w:t>
      </w:r>
      <w:r>
        <w:rPr>
          <w:rFonts w:hint="eastAsia" w:ascii="仿宋_GB2312" w:hAnsi="仿宋_GB2312" w:eastAsia="仿宋_GB2312" w:cs="仿宋_GB2312"/>
          <w:i w:val="0"/>
          <w:caps w:val="0"/>
          <w:color w:val="auto"/>
          <w:spacing w:val="0"/>
          <w:kern w:val="0"/>
          <w:sz w:val="32"/>
          <w:szCs w:val="32"/>
          <w:shd w:val="clear" w:fill="FFFFFF"/>
          <w:lang w:val="en-US" w:eastAsia="zh-CN" w:bidi="ar"/>
        </w:rPr>
        <w:t>较上年增加</w:t>
      </w:r>
      <w:r>
        <w:rPr>
          <w:rFonts w:hint="eastAsia" w:ascii="仿宋_GB2312" w:hAnsi="微软雅黑" w:eastAsia="仿宋_GB2312" w:cs="仿宋_GB2312"/>
          <w:i w:val="0"/>
          <w:caps w:val="0"/>
          <w:color w:val="auto"/>
          <w:spacing w:val="0"/>
          <w:kern w:val="0"/>
          <w:sz w:val="32"/>
          <w:szCs w:val="32"/>
          <w:shd w:val="clear" w:fill="FFFFFF"/>
          <w:lang w:val="en-US" w:eastAsia="zh-CN" w:bidi="ar"/>
        </w:rPr>
        <w:t>34.17万元，增长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7.01％，主要原因：</w:t>
      </w:r>
      <w:r>
        <w:rPr>
          <w:rFonts w:hint="eastAsia" w:ascii="仿宋_GB2312" w:hAnsi="微软雅黑" w:eastAsia="仿宋_GB2312" w:cs="仿宋_GB2312"/>
          <w:i w:val="0"/>
          <w:caps w:val="0"/>
          <w:color w:val="auto"/>
          <w:spacing w:val="0"/>
          <w:kern w:val="0"/>
          <w:sz w:val="32"/>
          <w:szCs w:val="32"/>
          <w:shd w:val="clear" w:fill="FFFFFF"/>
          <w:lang w:val="en-US" w:eastAsia="zh-CN" w:bidi="ar"/>
        </w:rPr>
        <w:t>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en-US" w:eastAsia="zh-CN"/>
        </w:rPr>
        <w:t>总支出</w:t>
      </w:r>
      <w:r>
        <w:rPr>
          <w:rFonts w:hint="eastAsia" w:ascii="仿宋_GB2312" w:hAnsi="仿宋_GB2312" w:eastAsia="仿宋_GB2312" w:cs="仿宋_GB2312"/>
          <w:sz w:val="32"/>
          <w:szCs w:val="32"/>
          <w:lang w:eastAsia="zh-CN"/>
        </w:rPr>
        <w:t>较上年</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i w:val="0"/>
          <w:caps w:val="0"/>
          <w:color w:val="auto"/>
          <w:spacing w:val="0"/>
          <w:kern w:val="0"/>
          <w:sz w:val="32"/>
          <w:szCs w:val="32"/>
          <w:shd w:val="clear" w:fill="FFFFFF"/>
          <w:lang w:val="en-US" w:eastAsia="zh-CN" w:bidi="ar"/>
        </w:rPr>
        <w:t>7.01％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i w:val="0"/>
          <w:caps w:val="0"/>
          <w:color w:val="auto"/>
          <w:spacing w:val="0"/>
          <w:kern w:val="0"/>
          <w:sz w:val="32"/>
          <w:szCs w:val="32"/>
          <w:shd w:val="clear" w:fill="FFFFFF"/>
          <w:lang w:val="en-US" w:eastAsia="zh-CN" w:bidi="ar"/>
        </w:rPr>
        <w:t>主要原因：</w:t>
      </w:r>
      <w:r>
        <w:rPr>
          <w:rFonts w:hint="eastAsia" w:ascii="仿宋_GB2312" w:hAnsi="微软雅黑" w:eastAsia="仿宋_GB2312" w:cs="仿宋_GB2312"/>
          <w:i w:val="0"/>
          <w:caps w:val="0"/>
          <w:color w:val="auto"/>
          <w:spacing w:val="0"/>
          <w:kern w:val="0"/>
          <w:sz w:val="32"/>
          <w:szCs w:val="32"/>
          <w:shd w:val="clear" w:fill="FFFFFF"/>
          <w:lang w:val="en-US" w:eastAsia="zh-CN" w:bidi="ar"/>
        </w:rPr>
        <w:t>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p>
    <w:p>
      <w:pPr>
        <w:tabs>
          <w:tab w:val="center" w:pos="4475"/>
        </w:tabs>
        <w:spacing w:line="560" w:lineRule="exact"/>
        <w:ind w:firstLine="645"/>
        <w:rPr>
          <w:rFonts w:hint="eastAsia" w:ascii="黑体" w:hAnsi="Times New Roman" w:eastAsia="黑体" w:cs="Times New Roman"/>
          <w:sz w:val="32"/>
          <w:szCs w:val="32"/>
        </w:rPr>
      </w:pPr>
      <w:r>
        <w:rPr>
          <w:rFonts w:hint="eastAsia" w:ascii="黑体" w:hAnsi="Times New Roman" w:eastAsia="黑体" w:cs="Times New Roman"/>
          <w:sz w:val="32"/>
          <w:szCs w:val="32"/>
          <w:lang w:eastAsia="zh-CN"/>
        </w:rPr>
        <w:t>五、</w:t>
      </w:r>
      <w:r>
        <w:rPr>
          <w:rFonts w:hint="eastAsia" w:ascii="黑体" w:hAnsi="Times New Roman" w:eastAsia="黑体" w:cs="Times New Roman"/>
          <w:sz w:val="32"/>
          <w:szCs w:val="32"/>
        </w:rPr>
        <w:t>一般公共预算支出情况说明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sz w:val="32"/>
          <w:szCs w:val="32"/>
          <w:shd w:val="clear" w:fill="FFFFFF"/>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一般公共预算支出</w:t>
      </w:r>
      <w:r>
        <w:rPr>
          <w:rFonts w:hint="eastAsia" w:ascii="仿宋_GB2312" w:hAnsi="仿宋_GB2312" w:eastAsia="仿宋_GB2312" w:cs="仿宋_GB2312"/>
          <w:sz w:val="32"/>
          <w:szCs w:val="32"/>
          <w:lang w:eastAsia="zh-CN"/>
        </w:rPr>
        <w:t>共</w:t>
      </w:r>
      <w:r>
        <w:rPr>
          <w:rFonts w:hint="eastAsia" w:ascii="仿宋_GB2312" w:hAnsi="微软雅黑" w:eastAsia="仿宋_GB2312" w:cs="仿宋_GB2312"/>
          <w:i w:val="0"/>
          <w:caps w:val="0"/>
          <w:color w:val="auto"/>
          <w:spacing w:val="0"/>
          <w:kern w:val="0"/>
          <w:sz w:val="32"/>
          <w:szCs w:val="32"/>
          <w:shd w:val="clear" w:fill="FFFFFF"/>
          <w:lang w:val="en-US" w:eastAsia="zh-CN" w:bidi="ar"/>
        </w:rPr>
        <w:t>521.89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较上年</w:t>
      </w:r>
      <w:r>
        <w:rPr>
          <w:rFonts w:hint="eastAsia" w:ascii="仿宋_GB2312" w:hAnsi="仿宋_GB2312" w:eastAsia="仿宋_GB2312" w:cs="仿宋_GB2312"/>
          <w:i w:val="0"/>
          <w:caps w:val="0"/>
          <w:color w:val="auto"/>
          <w:spacing w:val="0"/>
          <w:kern w:val="0"/>
          <w:sz w:val="32"/>
          <w:szCs w:val="32"/>
          <w:shd w:val="clear" w:fill="FFFFFF"/>
          <w:lang w:val="en-US" w:eastAsia="zh-CN" w:bidi="ar"/>
        </w:rPr>
        <w:t>增加</w:t>
      </w:r>
      <w:r>
        <w:rPr>
          <w:rFonts w:hint="eastAsia" w:ascii="仿宋_GB2312" w:hAnsi="微软雅黑" w:eastAsia="仿宋_GB2312" w:cs="仿宋_GB2312"/>
          <w:i w:val="0"/>
          <w:caps w:val="0"/>
          <w:color w:val="auto"/>
          <w:spacing w:val="0"/>
          <w:kern w:val="0"/>
          <w:sz w:val="32"/>
          <w:szCs w:val="32"/>
          <w:shd w:val="clear" w:fill="FFFFFF"/>
          <w:lang w:val="en-US" w:eastAsia="zh-CN" w:bidi="ar"/>
        </w:rPr>
        <w:t>34.17万元，增长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7.01％，主要原因：</w:t>
      </w:r>
      <w:r>
        <w:rPr>
          <w:rFonts w:hint="eastAsia" w:ascii="仿宋_GB2312" w:hAnsi="微软雅黑" w:eastAsia="仿宋_GB2312" w:cs="仿宋_GB2312"/>
          <w:i w:val="0"/>
          <w:caps w:val="0"/>
          <w:color w:val="auto"/>
          <w:spacing w:val="0"/>
          <w:kern w:val="0"/>
          <w:sz w:val="32"/>
          <w:szCs w:val="32"/>
          <w:shd w:val="clear" w:fill="FFFFFF"/>
          <w:lang w:val="en-US" w:eastAsia="zh-CN" w:bidi="ar"/>
        </w:rPr>
        <w:t>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r>
        <w:rPr>
          <w:rFonts w:hint="eastAsia" w:ascii="仿宋_GB2312" w:hAnsi="仿宋_GB2312" w:eastAsia="仿宋_GB2312" w:cs="仿宋_GB2312"/>
          <w:sz w:val="32"/>
          <w:szCs w:val="32"/>
        </w:rPr>
        <w:t>中央提前下达202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年一般公共预算转移支付资金安排的支出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具体情况为：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1.按支出功能分类科目划分，共分为4类，其中：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204公共安全支出类科目支出386.51万元，占支出总预算74.06％，同比增加16.22万元，增长4.38%，增长</w:t>
      </w:r>
      <w:r>
        <w:rPr>
          <w:rFonts w:hint="eastAsia" w:ascii="仿宋_GB2312" w:hAnsi="仿宋_GB2312" w:eastAsia="仿宋_GB2312" w:cs="仿宋_GB2312"/>
          <w:i w:val="0"/>
          <w:caps w:val="0"/>
          <w:color w:val="auto"/>
          <w:spacing w:val="0"/>
          <w:kern w:val="0"/>
          <w:sz w:val="32"/>
          <w:szCs w:val="32"/>
          <w:shd w:val="clear" w:fill="FFFFFF"/>
          <w:lang w:val="en-US" w:eastAsia="zh-CN" w:bidi="ar"/>
        </w:rPr>
        <w:t>主要原因：</w:t>
      </w:r>
      <w:r>
        <w:rPr>
          <w:rFonts w:hint="eastAsia" w:ascii="仿宋_GB2312" w:hAnsi="微软雅黑" w:eastAsia="仿宋_GB2312" w:cs="仿宋_GB2312"/>
          <w:i w:val="0"/>
          <w:caps w:val="0"/>
          <w:color w:val="auto"/>
          <w:spacing w:val="0"/>
          <w:kern w:val="0"/>
          <w:sz w:val="32"/>
          <w:szCs w:val="32"/>
          <w:shd w:val="clear" w:fill="FFFFFF"/>
          <w:lang w:val="en-US" w:eastAsia="zh-CN" w:bidi="ar"/>
        </w:rPr>
        <w:t>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208社会保障和就业支出类科目支出74.81万元，占支出总预算14.33％，同比增加7万元，增长了10.32%，增长原因2026年养老保险和职业年金财政测算基数标准变动及。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210卫生健康支出类科目支出28.12万元，占支出总预算5.39％，同比增加9.19万元，增长48.55%，增长原因为财政测算基数标准变动及</w:t>
      </w:r>
      <w:r>
        <w:rPr>
          <w:rFonts w:hint="eastAsia" w:ascii="仿宋_GB2312" w:eastAsia="仿宋_GB2312"/>
          <w:sz w:val="32"/>
          <w:szCs w:val="32"/>
          <w:highlight w:val="none"/>
          <w:lang w:val="en-US" w:eastAsia="zh-CN"/>
        </w:rPr>
        <w:t>增加了公务员医疗补助方面费用。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221住房保障支出类科目支出32.45万元，占支出总预算6.22％，同比增加1.76万元，增长5.73%，增长原因为财政测算基数标准变动</w:t>
      </w:r>
      <w:r>
        <w:rPr>
          <w:rFonts w:hint="eastAsia" w:ascii="仿宋_GB2312" w:eastAsia="仿宋_GB2312"/>
          <w:sz w:val="32"/>
          <w:szCs w:val="32"/>
          <w:highlight w:val="none"/>
          <w:lang w:val="en-US" w:eastAsia="zh-CN"/>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按支出结构划分为基本支出和项目支出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200" w:right="0" w:rightChars="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 xml:space="preserve">  （1）基本支出预算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420" w:leftChars="20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基本支出预算477.19万元，占支出总预算91.43%，同比增加36.67万元，增长8.32%。其中：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人员经费预算396.31万元，占基本支出预算83.05%，同比增加32.94万元，增长了9.07%。增长原因为</w:t>
      </w:r>
      <w:r>
        <w:rPr>
          <w:rFonts w:hint="eastAsia" w:ascii="仿宋_GB2312" w:hAnsi="微软雅黑" w:eastAsia="仿宋_GB2312" w:cs="仿宋_GB2312"/>
          <w:i w:val="0"/>
          <w:caps w:val="0"/>
          <w:color w:val="auto"/>
          <w:spacing w:val="0"/>
          <w:kern w:val="0"/>
          <w:sz w:val="32"/>
          <w:szCs w:val="32"/>
          <w:shd w:val="clear" w:fill="FFFFFF"/>
          <w:lang w:val="en-US" w:eastAsia="zh-CN" w:bidi="ar"/>
        </w:rPr>
        <w:t>人员</w:t>
      </w:r>
      <w:r>
        <w:rPr>
          <w:rFonts w:hint="eastAsia" w:ascii="仿宋_GB2312" w:eastAsia="仿宋_GB2312"/>
          <w:sz w:val="32"/>
          <w:szCs w:val="32"/>
          <w:highlight w:val="none"/>
          <w:lang w:val="en-US" w:eastAsia="zh-CN"/>
        </w:rPr>
        <w:t>晋职晋级工资增加，按照柳州津补贴标准领取工资，人员经费增加，增加了公务员医疗补助方面费用。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5"/>
        <w:jc w:val="both"/>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公用经费（商品和服务支出）预算80.88万元，</w:t>
      </w:r>
      <w:r>
        <w:rPr>
          <w:rFonts w:hint="eastAsia" w:ascii="仿宋_GB2312" w:eastAsia="仿宋_GB2312"/>
          <w:sz w:val="32"/>
          <w:szCs w:val="32"/>
          <w:highlight w:val="none"/>
          <w:lang w:val="en-US" w:eastAsia="zh-CN"/>
        </w:rPr>
        <w:t>占基本支出预算16.95%，同比增长3.73万元，增长4.83%。增长原因为增加了残疾人保障金缴纳数。</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5"/>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项目支出预算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项目支出预算44.7万元，占支出总预算8.57%，同比减少2.5万元，下降5.30%。</w:t>
      </w:r>
      <w:bookmarkStart w:id="0" w:name="_GoBack"/>
      <w:bookmarkEnd w:id="0"/>
      <w:r>
        <w:rPr>
          <w:rFonts w:hint="eastAsia" w:ascii="仿宋_GB2312" w:eastAsia="仿宋_GB2312"/>
          <w:sz w:val="32"/>
          <w:szCs w:val="32"/>
          <w:highlight w:val="none"/>
          <w:lang w:val="en-US" w:eastAsia="zh-CN"/>
        </w:rPr>
        <w:t>支出减少原因主要为压减了部分项目经费支出及减少残疾人保障金项目。</w:t>
      </w:r>
    </w:p>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六、一般公共预算基本支出情况说明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我单位一般公共预算基本支出共477.19万元，占支出总预算91.43%，同比增加36.67万元，增长8.32%，主要原因是人员晋职晋级工资增加，按照柳州津补贴标准领取工资，人员经费增加，增加了公务员医疗补助方面费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按照经济分类款级科目支出如下：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工资福利支出预算365.82万元，占基本支出预算76.66％，同比增长28.62万元，增长了8.49%。主要原因人员晋职晋级工资增加，按照柳州津补贴标准领取工资，人员经费增加，增加了公务员医疗补助方面费用。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对个人和家庭的补助预算30.49万元，占基本支出预算6.39％，同比增加4.31万元，增加了16.46%。主要原因是增加了退休人员医疗补助经费。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公用经费（商品和服务支出）预算80.88万元，占基本支出预算16.95％，同比增加3.73万元，增长4.83%，主要原因增加了残疾人保障金缴纳数。</w:t>
      </w:r>
    </w:p>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七、一般公共预算“三公”经费情况说明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我单位2026年一般公共预算安排的“三公两费”经费支出预算8.49万元，同比减少0.4万元，下降4.50%。具体如下：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1.因公出国（境）费2026年预算安排0万元，与上年持平。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2.公务接待费2026年预算安排0万元，与上年持平。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3.公务用车购置及运行费2026年预算安排7.55万元，同比减少0.4万元，下降5.03%其中：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公务用车购置费2026年预算安排0万元，主要原因是无此经费支出。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公务用车运行维护费2026年预算安排7.55万元，比减少0.4万元，下降5.03%。主要原因压减了部分项目经费支出。</w:t>
      </w:r>
    </w:p>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八、政府性基金预算情况说明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我单位2026年部门预算无政府性基金预算。</w:t>
      </w:r>
    </w:p>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九、国有资本经营预算支出情况说明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我单位2026年部门预算无国有资本经营预算。</w:t>
      </w:r>
    </w:p>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十、其他重要事项情况说明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（一）机关运行经费安排情况说明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2026年机关运行经费预算80.88万元，同比2025年77.15万元增加3.73万元，增长4.83%。保障自治区公安厅森林公安直属二分局博林派出所日常运行，主要用于办公及印刷费、邮电费、差旅费、会议费、福利费、日常维修费、专用材料及一般设备购置费、办公用房水电费、办公用房物业管理费、公务用车运行维护费以及其他费用。机关运行经费预算增加的主要原因是增加了残疾人保障金缴纳数。</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（二）政府采购预算安排情况说明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2026年政府采购预算8.49万元，同比2025年7.92万元增加0.57万元，增长7.2%。增长主要原因为2026年度增加了A4复印纸采购。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政府集中采购预算8.49万元，占政府采购预算100％，同比2025年7.92万元增加0.57万元，增长7.2%。；分散采购预算0万元，占政府采购预算0％。主要原因为:根据自治区财政政府采购有关规定，公务用车的加油，公务用车维修及保险购买均为集中采购，无分散采购。货物采购0万元，占政府采购预算0％，变化原因：我单位政府采购项目较去年减少，且公务用车的加油，公务用车维修及保险购买均为集中采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工程采购0万元，占政府采购预算0％，变化原因：无此项目。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服务采购7.53万元，占政府采购预算88.69％，较上年减少0.39万元，下降4.92%。主要原因为为压减了部分项目经费支出。</w:t>
      </w:r>
      <w:r>
        <w:rPr>
          <w:rFonts w:hint="default" w:ascii="仿宋_GB2312" w:eastAsia="仿宋_GB2312"/>
          <w:sz w:val="32"/>
          <w:szCs w:val="32"/>
          <w:highlight w:val="none"/>
          <w:lang w:val="en-US" w:eastAsia="zh-CN"/>
        </w:rPr>
        <w:t>政府采购预算中，授予中小企业的合同金额</w:t>
      </w:r>
      <w:r>
        <w:rPr>
          <w:rFonts w:hint="eastAsia" w:ascii="仿宋_GB2312" w:eastAsia="仿宋_GB2312"/>
          <w:sz w:val="32"/>
          <w:szCs w:val="32"/>
          <w:highlight w:val="none"/>
          <w:lang w:val="en-US" w:eastAsia="zh-CN"/>
        </w:rPr>
        <w:t>3.76万元</w:t>
      </w:r>
      <w:r>
        <w:rPr>
          <w:rFonts w:hint="default" w:ascii="仿宋_GB2312" w:eastAsia="仿宋_GB2312"/>
          <w:sz w:val="32"/>
          <w:szCs w:val="32"/>
          <w:highlight w:val="none"/>
          <w:lang w:val="en-US" w:eastAsia="zh-CN"/>
        </w:rPr>
        <w:t>，占政府采购支出总额</w:t>
      </w:r>
      <w:r>
        <w:rPr>
          <w:rFonts w:hint="eastAsia" w:ascii="仿宋_GB2312" w:eastAsia="仿宋_GB2312"/>
          <w:sz w:val="32"/>
          <w:szCs w:val="32"/>
          <w:highlight w:val="none"/>
          <w:lang w:val="en-US" w:eastAsia="zh-CN"/>
        </w:rPr>
        <w:t>44.29</w:t>
      </w:r>
      <w:r>
        <w:rPr>
          <w:rFonts w:hint="default" w:ascii="仿宋_GB2312" w:eastAsia="仿宋_GB2312"/>
          <w:sz w:val="32"/>
          <w:szCs w:val="32"/>
          <w:highlight w:val="none"/>
          <w:lang w:val="en-US" w:eastAsia="zh-CN"/>
        </w:rPr>
        <w:t>%。</w:t>
      </w:r>
      <w:r>
        <w:rPr>
          <w:rFonts w:hint="eastAsia" w:ascii="仿宋_GB2312" w:eastAsia="仿宋_GB2312"/>
          <w:sz w:val="32"/>
          <w:szCs w:val="32"/>
          <w:highlight w:val="none"/>
          <w:lang w:val="en-US" w:eastAsia="zh-CN"/>
        </w:rPr>
        <w:t>其他因确需使用不可替代的专利、专业技术，基础设施限制或提供特定公共服务，无法授予中小企业份额。</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货物采购0.96万元，占政府采购预算11.31％，较上年增加0.96万元，增长100%，主要原因为2026年度增加了A4复印纸采购。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（三）国有资产占有情况说明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车辆情况：车辆编制数2辆，一般执法执勤用车2辆，实有车辆2辆。单位价值50万元以上通用设备0 台（套）；单位价值100万元以上专用设备0 台（套）。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（四）重点项目预算绩效目标等情况说明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一）我单位2026年所有项目支出全面实施绩效目标管理，涉及自治区本级项目1个，预算资金8.16万元；对下转移支付项目0个，预算资金0万元。绩效目标情况详见报表（备注：以上项目不含日常运转类项目、工资类人员经费项目、涉密项目、资金文件公开方式为“不予公开”的项目及其他不宜公开的项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（二）重点项目预算绩效目标说明。</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853"/>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项目名称</w:t>
            </w:r>
          </w:p>
        </w:tc>
        <w:tc>
          <w:tcPr>
            <w:tcW w:w="1853" w:type="dxa"/>
            <w:noWrap w:val="0"/>
            <w:vAlign w:val="top"/>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预算数（单位：万元）</w:t>
            </w:r>
          </w:p>
        </w:tc>
        <w:tc>
          <w:tcPr>
            <w:tcW w:w="3829" w:type="dxa"/>
            <w:noWrap w:val="0"/>
            <w:vAlign w:val="top"/>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警犬驯养业务工作经费</w:t>
            </w:r>
          </w:p>
        </w:tc>
        <w:tc>
          <w:tcPr>
            <w:tcW w:w="1853" w:type="dxa"/>
            <w:noWrap w:val="0"/>
            <w:vAlign w:val="top"/>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8.16</w:t>
            </w:r>
          </w:p>
        </w:tc>
        <w:tc>
          <w:tcPr>
            <w:tcW w:w="3829" w:type="dxa"/>
            <w:noWrap w:val="0"/>
            <w:vAlign w:val="top"/>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2026年度绩效目标为：完成4头警犬的驯养工作，确保警犬健康、保持战斗力。</w:t>
            </w:r>
          </w:p>
        </w:tc>
      </w:tr>
    </w:tbl>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第三部分：名词解释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一、基本支出：指为保障机构正常运转、完成日常工作任务而发生的人员支出和定额公用支出。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二、项目支出：指在基本支出之外为完成特定行政任务和事业发展目标所发生的支出。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三、“三公两费”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四、特别业务：公安机关开展特别业务工作的相关支出。</w:t>
      </w:r>
    </w:p>
    <w:p>
      <w:pPr>
        <w:tabs>
          <w:tab w:val="center" w:pos="4475"/>
        </w:tabs>
        <w:spacing w:line="560" w:lineRule="exact"/>
        <w:ind w:firstLine="645"/>
        <w:rPr>
          <w:rFonts w:hint="eastAsia" w:ascii="黑体" w:hAnsi="Times New Roman" w:eastAsia="黑体" w:cs="Times New Roman"/>
          <w:sz w:val="32"/>
          <w:szCs w:val="32"/>
          <w:lang w:eastAsia="zh-CN"/>
        </w:rPr>
      </w:pPr>
      <w:r>
        <w:rPr>
          <w:rFonts w:hint="eastAsia" w:ascii="黑体" w:hAnsi="Times New Roman" w:eastAsia="黑体" w:cs="Times New Roman"/>
          <w:sz w:val="32"/>
          <w:szCs w:val="32"/>
          <w:lang w:eastAsia="zh-CN"/>
        </w:rPr>
        <w:t>第四部分：</w:t>
      </w:r>
      <w:r>
        <w:rPr>
          <w:rFonts w:hint="eastAsia" w:ascii="黑体" w:hAnsi="Times New Roman" w:eastAsia="黑体" w:cs="Times New Roman"/>
          <w:sz w:val="32"/>
          <w:szCs w:val="32"/>
          <w:lang w:val="en-US" w:eastAsia="zh-CN"/>
        </w:rPr>
        <w:t>自治区公安厅直属森林公安二分局博林派出所</w:t>
      </w:r>
      <w:r>
        <w:rPr>
          <w:rFonts w:hint="eastAsia" w:ascii="黑体" w:hAnsi="Times New Roman" w:eastAsia="黑体" w:cs="Times New Roman"/>
          <w:sz w:val="32"/>
          <w:szCs w:val="32"/>
          <w:lang w:eastAsia="zh-CN"/>
        </w:rPr>
        <w:t>202</w:t>
      </w:r>
      <w:r>
        <w:rPr>
          <w:rFonts w:hint="eastAsia" w:ascii="黑体" w:hAnsi="Times New Roman" w:eastAsia="黑体" w:cs="Times New Roman"/>
          <w:sz w:val="32"/>
          <w:szCs w:val="32"/>
          <w:lang w:val="en-US" w:eastAsia="zh-CN"/>
        </w:rPr>
        <w:t>6</w:t>
      </w:r>
      <w:r>
        <w:rPr>
          <w:rFonts w:hint="eastAsia" w:ascii="黑体" w:hAnsi="Times New Roman" w:eastAsia="黑体" w:cs="Times New Roman"/>
          <w:sz w:val="32"/>
          <w:szCs w:val="32"/>
          <w:lang w:eastAsia="zh-CN"/>
        </w:rPr>
        <w:t>年部门预算报表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自治区公安厅直属森林公安二分局博林派出所2026年部门预算报表详见附件</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eastAsia="仿宋_GB2312"/>
          <w:sz w:val="32"/>
          <w:szCs w:val="32"/>
          <w:highlight w:val="none"/>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90A241"/>
    <w:multiLevelType w:val="singleLevel"/>
    <w:tmpl w:val="6790A241"/>
    <w:lvl w:ilvl="0" w:tentative="0">
      <w:start w:val="2"/>
      <w:numFmt w:val="decimal"/>
      <w:suff w:val="nothing"/>
      <w:lvlText w:val="%1."/>
      <w:lvlJc w:val="left"/>
    </w:lvl>
  </w:abstractNum>
  <w:abstractNum w:abstractNumId="1">
    <w:nsid w:val="6790A532"/>
    <w:multiLevelType w:val="singleLevel"/>
    <w:tmpl w:val="6790A532"/>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190c251e-764d-474e-b2cf-858c4c6a82c4"/>
  </w:docVars>
  <w:rsids>
    <w:rsidRoot w:val="00000000"/>
    <w:rsid w:val="00C42E80"/>
    <w:rsid w:val="01606F61"/>
    <w:rsid w:val="023C0C44"/>
    <w:rsid w:val="0317441B"/>
    <w:rsid w:val="046C2572"/>
    <w:rsid w:val="046E64CD"/>
    <w:rsid w:val="04C37FD1"/>
    <w:rsid w:val="052836B9"/>
    <w:rsid w:val="056A2EBF"/>
    <w:rsid w:val="058B5486"/>
    <w:rsid w:val="06651AAD"/>
    <w:rsid w:val="06E25CDC"/>
    <w:rsid w:val="06FD3915"/>
    <w:rsid w:val="070840DA"/>
    <w:rsid w:val="07D30BF2"/>
    <w:rsid w:val="086B1D4B"/>
    <w:rsid w:val="08736293"/>
    <w:rsid w:val="097E3383"/>
    <w:rsid w:val="0983151D"/>
    <w:rsid w:val="0A2A165D"/>
    <w:rsid w:val="0A693B26"/>
    <w:rsid w:val="0B3A67AA"/>
    <w:rsid w:val="0BFD727F"/>
    <w:rsid w:val="0BFE5AF7"/>
    <w:rsid w:val="0C127451"/>
    <w:rsid w:val="0CD677B5"/>
    <w:rsid w:val="0CDF5A1C"/>
    <w:rsid w:val="0D0F360B"/>
    <w:rsid w:val="0D567B16"/>
    <w:rsid w:val="0EDB711C"/>
    <w:rsid w:val="1000213E"/>
    <w:rsid w:val="108C429B"/>
    <w:rsid w:val="10F7ACE7"/>
    <w:rsid w:val="11151B5E"/>
    <w:rsid w:val="11EA715B"/>
    <w:rsid w:val="11FA18BE"/>
    <w:rsid w:val="133C43CB"/>
    <w:rsid w:val="13A36918"/>
    <w:rsid w:val="171C9B43"/>
    <w:rsid w:val="178F0E8A"/>
    <w:rsid w:val="17F05A76"/>
    <w:rsid w:val="180A1FD2"/>
    <w:rsid w:val="1A2F22E5"/>
    <w:rsid w:val="1AB50E90"/>
    <w:rsid w:val="1B7F73A1"/>
    <w:rsid w:val="1DC834B3"/>
    <w:rsid w:val="1DFC7199"/>
    <w:rsid w:val="1E01290B"/>
    <w:rsid w:val="1E2B76CE"/>
    <w:rsid w:val="1F27105E"/>
    <w:rsid w:val="1F592D6B"/>
    <w:rsid w:val="1F77728E"/>
    <w:rsid w:val="1FF015FE"/>
    <w:rsid w:val="208C5055"/>
    <w:rsid w:val="20F30DDA"/>
    <w:rsid w:val="221D1925"/>
    <w:rsid w:val="221F33E2"/>
    <w:rsid w:val="258D3377"/>
    <w:rsid w:val="25E4791E"/>
    <w:rsid w:val="27191AC3"/>
    <w:rsid w:val="27EA33FC"/>
    <w:rsid w:val="289416E8"/>
    <w:rsid w:val="29621D3D"/>
    <w:rsid w:val="297E503B"/>
    <w:rsid w:val="2B2A41F9"/>
    <w:rsid w:val="2B8F47EF"/>
    <w:rsid w:val="2C7B0FD5"/>
    <w:rsid w:val="2CEF6CA9"/>
    <w:rsid w:val="2DFFD237"/>
    <w:rsid w:val="2E792CFD"/>
    <w:rsid w:val="2EC152CB"/>
    <w:rsid w:val="2EE97FAF"/>
    <w:rsid w:val="2F5152A1"/>
    <w:rsid w:val="2F8D0EE7"/>
    <w:rsid w:val="3021450A"/>
    <w:rsid w:val="30622AFC"/>
    <w:rsid w:val="30CB221E"/>
    <w:rsid w:val="31DF2628"/>
    <w:rsid w:val="32C54844"/>
    <w:rsid w:val="33E1114B"/>
    <w:rsid w:val="33F139A4"/>
    <w:rsid w:val="34E45EF2"/>
    <w:rsid w:val="35103338"/>
    <w:rsid w:val="356429A8"/>
    <w:rsid w:val="357652FC"/>
    <w:rsid w:val="359628AD"/>
    <w:rsid w:val="35CA216A"/>
    <w:rsid w:val="37A96F35"/>
    <w:rsid w:val="386560B9"/>
    <w:rsid w:val="387473AF"/>
    <w:rsid w:val="38B740B2"/>
    <w:rsid w:val="39F76EA2"/>
    <w:rsid w:val="3A192FA9"/>
    <w:rsid w:val="3A7F7BA0"/>
    <w:rsid w:val="3ACF6DFE"/>
    <w:rsid w:val="3BBB8384"/>
    <w:rsid w:val="3D657217"/>
    <w:rsid w:val="3DF74966"/>
    <w:rsid w:val="3E4D0AB6"/>
    <w:rsid w:val="3F1E6B23"/>
    <w:rsid w:val="3F87CD45"/>
    <w:rsid w:val="3FCA7F0E"/>
    <w:rsid w:val="4062795F"/>
    <w:rsid w:val="40E5695C"/>
    <w:rsid w:val="41F536B1"/>
    <w:rsid w:val="42153649"/>
    <w:rsid w:val="421F00AF"/>
    <w:rsid w:val="424E0EF0"/>
    <w:rsid w:val="43AB043B"/>
    <w:rsid w:val="43DD0B19"/>
    <w:rsid w:val="457A6B25"/>
    <w:rsid w:val="4682677B"/>
    <w:rsid w:val="49BA5C38"/>
    <w:rsid w:val="4A337BCF"/>
    <w:rsid w:val="4CF53A71"/>
    <w:rsid w:val="4E0964C9"/>
    <w:rsid w:val="4F266B0F"/>
    <w:rsid w:val="501C7128"/>
    <w:rsid w:val="50A6032A"/>
    <w:rsid w:val="50E52991"/>
    <w:rsid w:val="520848E4"/>
    <w:rsid w:val="525E47A4"/>
    <w:rsid w:val="531D5EB7"/>
    <w:rsid w:val="540F5625"/>
    <w:rsid w:val="544430D1"/>
    <w:rsid w:val="54AA5276"/>
    <w:rsid w:val="55D31BA6"/>
    <w:rsid w:val="55F2249D"/>
    <w:rsid w:val="56823752"/>
    <w:rsid w:val="56CF713E"/>
    <w:rsid w:val="581D775D"/>
    <w:rsid w:val="58405692"/>
    <w:rsid w:val="591D2F5B"/>
    <w:rsid w:val="597F08B8"/>
    <w:rsid w:val="5A786BBB"/>
    <w:rsid w:val="5A88499A"/>
    <w:rsid w:val="5AC15C91"/>
    <w:rsid w:val="5B774EBC"/>
    <w:rsid w:val="5BA3669A"/>
    <w:rsid w:val="5C652A84"/>
    <w:rsid w:val="5CE41B9E"/>
    <w:rsid w:val="5CF54FB4"/>
    <w:rsid w:val="5CFC1942"/>
    <w:rsid w:val="5D0632C6"/>
    <w:rsid w:val="5DA73C31"/>
    <w:rsid w:val="5DA91492"/>
    <w:rsid w:val="5DCA5FC7"/>
    <w:rsid w:val="5E107A44"/>
    <w:rsid w:val="5EFE4292"/>
    <w:rsid w:val="5F22133C"/>
    <w:rsid w:val="5FE32234"/>
    <w:rsid w:val="608644CB"/>
    <w:rsid w:val="60EF541F"/>
    <w:rsid w:val="612B08FD"/>
    <w:rsid w:val="61483938"/>
    <w:rsid w:val="615735A3"/>
    <w:rsid w:val="619E7B22"/>
    <w:rsid w:val="63F46755"/>
    <w:rsid w:val="64833F27"/>
    <w:rsid w:val="64FE31EF"/>
    <w:rsid w:val="65CB1263"/>
    <w:rsid w:val="66537B41"/>
    <w:rsid w:val="66555C21"/>
    <w:rsid w:val="6664068B"/>
    <w:rsid w:val="67167E77"/>
    <w:rsid w:val="672C0230"/>
    <w:rsid w:val="682E0C88"/>
    <w:rsid w:val="69FA74F9"/>
    <w:rsid w:val="6BA35B01"/>
    <w:rsid w:val="6D5A539D"/>
    <w:rsid w:val="71E601EE"/>
    <w:rsid w:val="72D455B2"/>
    <w:rsid w:val="73FF99AE"/>
    <w:rsid w:val="74DA0304"/>
    <w:rsid w:val="75C3753A"/>
    <w:rsid w:val="75D13163"/>
    <w:rsid w:val="769306FE"/>
    <w:rsid w:val="77776FC1"/>
    <w:rsid w:val="79135AEA"/>
    <w:rsid w:val="7AE64BC8"/>
    <w:rsid w:val="7B9520EF"/>
    <w:rsid w:val="7BF91550"/>
    <w:rsid w:val="7C6D492B"/>
    <w:rsid w:val="7D016812"/>
    <w:rsid w:val="7E6F7E8F"/>
    <w:rsid w:val="7ED14B31"/>
    <w:rsid w:val="7F316F80"/>
    <w:rsid w:val="7F3D77F3"/>
    <w:rsid w:val="7F89042C"/>
    <w:rsid w:val="BAE79452"/>
    <w:rsid w:val="BB9E4993"/>
    <w:rsid w:val="C6FA996E"/>
    <w:rsid w:val="C7F9A0DD"/>
    <w:rsid w:val="D5F188E7"/>
    <w:rsid w:val="D76F7C90"/>
    <w:rsid w:val="E7AFF5A8"/>
    <w:rsid w:val="EAF75221"/>
    <w:rsid w:val="ECDB5FBC"/>
    <w:rsid w:val="EEB74820"/>
    <w:rsid w:val="F3CDFF65"/>
    <w:rsid w:val="F5D9B909"/>
    <w:rsid w:val="FCDBB145"/>
    <w:rsid w:val="FCFB30B7"/>
    <w:rsid w:val="FDFF9731"/>
    <w:rsid w:val="FED7FED3"/>
    <w:rsid w:val="FF7F4460"/>
    <w:rsid w:val="FFF74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Emphasis"/>
    <w:basedOn w:val="7"/>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3722</Words>
  <Characters>4209</Characters>
  <Lines>0</Lines>
  <Paragraphs>0</Paragraphs>
  <TotalTime>19</TotalTime>
  <ScaleCrop>false</ScaleCrop>
  <LinksUpToDate>false</LinksUpToDate>
  <CharactersWithSpaces>4216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huawei</cp:lastModifiedBy>
  <dcterms:modified xsi:type="dcterms:W3CDTF">2026-02-12T12:10:52Z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7494F6B86B3C4CFD85643837CE26C4AC</vt:lpwstr>
  </property>
  <property fmtid="{D5CDD505-2E9C-101B-9397-08002B2CF9AE}" pid="4" name="KSOTemplateDocerSaveRecord">
    <vt:lpwstr>eyJoZGlkIjoiYWRlZDA2NzhkNGUxMDA2MjhkNWE3YzQ4OTg1MjQ3NjQiLCJ1c2VySWQiOiI2NDQxMzQ5NDgifQ==</vt:lpwstr>
  </property>
</Properties>
</file>