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spacing w:beforeAutospacing="0" w:afterAutospacing="0" w:line="240" w:lineRule="auto"/>
        <w:ind w:firstLine="475" w:firstLineChars="113"/>
        <w:jc w:val="both"/>
        <w:textAlignment w:val="auto"/>
        <w:rPr>
          <w:rFonts w:ascii="微软雅黑" w:hAnsi="微软雅黑" w:eastAsia="微软雅黑" w:cs="微软雅黑"/>
          <w:sz w:val="42"/>
          <w:szCs w:val="42"/>
          <w:shd w:val="clear" w:color="auto" w:fill="FFFFFF"/>
        </w:rPr>
      </w:pP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240" w:lineRule="auto"/>
        <w:ind w:firstLine="475" w:firstLineChars="113"/>
        <w:jc w:val="both"/>
        <w:textAlignment w:val="auto"/>
        <w:rPr>
          <w:rFonts w:hint="default" w:ascii="微软雅黑" w:hAnsi="微软雅黑" w:eastAsia="微软雅黑" w:cs="微软雅黑"/>
          <w:sz w:val="42"/>
          <w:szCs w:val="42"/>
          <w:shd w:val="clear" w:color="auto" w:fill="FFFFFF"/>
        </w:rPr>
      </w:pP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240" w:lineRule="auto"/>
        <w:ind w:firstLine="475" w:firstLineChars="113"/>
        <w:jc w:val="both"/>
        <w:textAlignment w:val="auto"/>
        <w:rPr>
          <w:rFonts w:hint="default" w:ascii="微软雅黑" w:hAnsi="微软雅黑" w:eastAsia="微软雅黑" w:cs="微软雅黑"/>
          <w:sz w:val="42"/>
          <w:szCs w:val="42"/>
          <w:shd w:val="clear" w:color="auto" w:fill="FFFFFF"/>
        </w:rPr>
      </w:pPr>
    </w:p>
    <w:p>
      <w:pPr>
        <w:pStyle w:val="2"/>
        <w:keepNext w:val="0"/>
        <w:keepLines w:val="0"/>
        <w:pageBreakBefore w:val="0"/>
        <w:widowControl/>
        <w:shd w:val="clear" w:color="auto" w:fill="FFFFFF"/>
        <w:kinsoku/>
        <w:wordWrap/>
        <w:overflowPunct/>
        <w:topLinePunct w:val="0"/>
        <w:autoSpaceDE/>
        <w:bidi w:val="0"/>
        <w:spacing w:beforeAutospacing="0" w:afterAutospacing="0" w:line="240" w:lineRule="auto"/>
        <w:jc w:val="both"/>
        <w:textAlignment w:val="auto"/>
        <w:rPr>
          <w:rFonts w:hint="default" w:ascii="微软雅黑" w:hAnsi="微软雅黑" w:eastAsia="微软雅黑" w:cs="微软雅黑"/>
          <w:sz w:val="42"/>
          <w:szCs w:val="42"/>
          <w:shd w:val="clear" w:color="auto" w:fill="FFFFFF"/>
        </w:rPr>
      </w:pPr>
    </w:p>
    <w:p>
      <w:pPr>
        <w:pStyle w:val="2"/>
        <w:keepNext w:val="0"/>
        <w:keepLines w:val="0"/>
        <w:pageBreakBefore w:val="0"/>
        <w:widowControl/>
        <w:shd w:val="clear" w:color="auto" w:fill="FFFFFF"/>
        <w:kinsoku/>
        <w:wordWrap/>
        <w:overflowPunct/>
        <w:topLinePunct w:val="0"/>
        <w:autoSpaceDE/>
        <w:bidi w:val="0"/>
        <w:spacing w:beforeAutospacing="0" w:afterAutospacing="0" w:line="240" w:lineRule="auto"/>
        <w:jc w:val="both"/>
        <w:textAlignment w:val="auto"/>
        <w:rPr>
          <w:rFonts w:hint="default" w:ascii="微软雅黑" w:hAnsi="微软雅黑" w:eastAsia="微软雅黑" w:cs="微软雅黑"/>
          <w:sz w:val="42"/>
          <w:szCs w:val="42"/>
          <w:shd w:val="clear" w:color="auto" w:fill="FFFFFF"/>
        </w:rPr>
      </w:pPr>
    </w:p>
    <w:p>
      <w:pPr>
        <w:keepNext w:val="0"/>
        <w:keepLines w:val="0"/>
        <w:pageBreakBefore w:val="0"/>
        <w:kinsoku/>
        <w:wordWrap/>
        <w:overflowPunct/>
        <w:topLinePunct w:val="0"/>
        <w:autoSpaceDE/>
        <w:bidi w:val="0"/>
        <w:adjustRightInd w:val="0"/>
        <w:snapToGrid w:val="0"/>
        <w:spacing w:line="240" w:lineRule="auto"/>
        <w:jc w:val="center"/>
        <w:textAlignment w:val="auto"/>
        <w:rPr>
          <w:rFonts w:ascii="方正小标宋简体" w:hAnsi="方正小标宋简体" w:eastAsia="方正小标宋简体" w:cs="方正小标宋简体"/>
          <w:b/>
          <w:sz w:val="52"/>
          <w:szCs w:val="52"/>
          <w:shd w:val="clear" w:color="auto" w:fill="FFFFFF"/>
        </w:rPr>
      </w:pPr>
    </w:p>
    <w:p>
      <w:pPr>
        <w:keepNext w:val="0"/>
        <w:keepLines w:val="0"/>
        <w:pageBreakBefore w:val="0"/>
        <w:kinsoku/>
        <w:wordWrap/>
        <w:overflowPunct/>
        <w:topLinePunct w:val="0"/>
        <w:autoSpaceDE/>
        <w:bidi w:val="0"/>
        <w:adjustRightInd w:val="0"/>
        <w:snapToGrid w:val="0"/>
        <w:spacing w:line="240" w:lineRule="auto"/>
        <w:jc w:val="center"/>
        <w:textAlignment w:val="auto"/>
        <w:rPr>
          <w:rFonts w:hint="eastAsia" w:ascii="方正小标宋简体" w:hAnsi="方正小标宋简体" w:eastAsia="方正小标宋简体" w:cs="方正小标宋简体"/>
          <w:b/>
          <w:sz w:val="52"/>
          <w:szCs w:val="52"/>
          <w:shd w:val="clear" w:color="auto" w:fill="FFFFFF"/>
        </w:rPr>
      </w:pPr>
      <w:r>
        <w:rPr>
          <w:rFonts w:hint="eastAsia" w:ascii="方正小标宋简体" w:hAnsi="方正小标宋简体" w:eastAsia="方正小标宋简体" w:cs="方正小标宋简体"/>
          <w:b/>
          <w:sz w:val="52"/>
          <w:szCs w:val="52"/>
          <w:shd w:val="clear" w:color="auto" w:fill="FFFFFF"/>
        </w:rPr>
        <w:t>广西壮族自治区公安厅直属</w:t>
      </w:r>
    </w:p>
    <w:p>
      <w:pPr>
        <w:keepNext w:val="0"/>
        <w:keepLines w:val="0"/>
        <w:pageBreakBefore w:val="0"/>
        <w:kinsoku/>
        <w:wordWrap/>
        <w:overflowPunct/>
        <w:topLinePunct w:val="0"/>
        <w:autoSpaceDE/>
        <w:bidi w:val="0"/>
        <w:adjustRightInd w:val="0"/>
        <w:snapToGrid w:val="0"/>
        <w:spacing w:line="240" w:lineRule="auto"/>
        <w:jc w:val="center"/>
        <w:textAlignment w:val="auto"/>
        <w:rPr>
          <w:rFonts w:ascii="方正小标宋简体" w:hAnsi="方正小标宋简体" w:eastAsia="方正小标宋简体" w:cs="方正小标宋简体"/>
          <w:b/>
          <w:sz w:val="52"/>
          <w:szCs w:val="52"/>
          <w:shd w:val="clear" w:color="auto" w:fill="FFFFFF"/>
        </w:rPr>
      </w:pPr>
      <w:r>
        <w:rPr>
          <w:rFonts w:hint="eastAsia" w:ascii="方正小标宋简体" w:hAnsi="方正小标宋简体" w:eastAsia="方正小标宋简体" w:cs="方正小标宋简体"/>
          <w:b/>
          <w:sz w:val="52"/>
          <w:szCs w:val="52"/>
          <w:shd w:val="clear" w:color="auto" w:fill="FFFFFF"/>
        </w:rPr>
        <w:t>森林公安一分局</w:t>
      </w:r>
      <w:r>
        <w:rPr>
          <w:rFonts w:hint="eastAsia" w:ascii="方正小标宋简体" w:hAnsi="方正小标宋简体" w:eastAsia="方正小标宋简体" w:cs="方正小标宋简体"/>
          <w:b/>
          <w:sz w:val="52"/>
          <w:szCs w:val="52"/>
          <w:shd w:val="clear" w:color="auto" w:fill="FFFFFF"/>
          <w:lang w:eastAsia="zh-CN"/>
        </w:rPr>
        <w:t>高峰</w:t>
      </w:r>
      <w:r>
        <w:rPr>
          <w:rFonts w:hint="eastAsia" w:ascii="方正小标宋简体" w:hAnsi="方正小标宋简体" w:eastAsia="方正小标宋简体" w:cs="方正小标宋简体"/>
          <w:b/>
          <w:sz w:val="52"/>
          <w:szCs w:val="52"/>
          <w:shd w:val="clear" w:color="auto" w:fill="FFFFFF"/>
        </w:rPr>
        <w:t>派出所</w:t>
      </w:r>
    </w:p>
    <w:p>
      <w:pPr>
        <w:pStyle w:val="2"/>
        <w:keepNext w:val="0"/>
        <w:keepLines w:val="0"/>
        <w:pageBreakBefore w:val="0"/>
        <w:widowControl/>
        <w:shd w:val="clear" w:color="auto" w:fill="FFFFFF"/>
        <w:kinsoku/>
        <w:wordWrap/>
        <w:overflowPunct/>
        <w:topLinePunct w:val="0"/>
        <w:autoSpaceDE/>
        <w:bidi w:val="0"/>
        <w:spacing w:beforeAutospacing="0" w:afterAutospacing="0" w:line="240" w:lineRule="auto"/>
        <w:jc w:val="center"/>
        <w:textAlignment w:val="auto"/>
        <w:rPr>
          <w:rFonts w:hint="default"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shd w:val="clear" w:color="auto" w:fill="FFFFFF"/>
        </w:rPr>
        <w:t>202</w:t>
      </w:r>
      <w:r>
        <w:rPr>
          <w:rFonts w:hint="eastAsia" w:ascii="方正小标宋简体" w:hAnsi="方正小标宋简体" w:eastAsia="方正小标宋简体" w:cs="方正小标宋简体"/>
          <w:sz w:val="52"/>
          <w:szCs w:val="52"/>
          <w:shd w:val="clear" w:color="auto" w:fill="FFFFFF"/>
          <w:lang w:val="en-US" w:eastAsia="zh-CN"/>
        </w:rPr>
        <w:t>6</w:t>
      </w:r>
      <w:r>
        <w:rPr>
          <w:rFonts w:ascii="方正小标宋简体" w:hAnsi="方正小标宋简体" w:eastAsia="方正小标宋简体" w:cs="方正小标宋简体"/>
          <w:sz w:val="52"/>
          <w:szCs w:val="52"/>
          <w:shd w:val="clear" w:color="auto" w:fill="FFFFFF"/>
        </w:rPr>
        <w:t>年单位预算公开</w:t>
      </w: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52"/>
          <w:szCs w:val="52"/>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52"/>
          <w:szCs w:val="52"/>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240" w:lineRule="auto"/>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560" w:lineRule="exact"/>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560" w:lineRule="exact"/>
        <w:jc w:val="both"/>
        <w:textAlignment w:val="auto"/>
        <w:rPr>
          <w:rStyle w:val="6"/>
          <w:rFonts w:ascii="黑体" w:hAnsi="宋体" w:eastAsia="黑体" w:cs="黑体"/>
          <w:sz w:val="31"/>
          <w:szCs w:val="31"/>
          <w:shd w:val="clear" w:color="auto" w:fill="FFFFFF"/>
        </w:rPr>
      </w:pPr>
    </w:p>
    <w:p>
      <w:pPr>
        <w:pStyle w:val="4"/>
        <w:keepNext w:val="0"/>
        <w:keepLines w:val="0"/>
        <w:pageBreakBefore w:val="0"/>
        <w:widowControl/>
        <w:kinsoku/>
        <w:wordWrap/>
        <w:overflowPunct/>
        <w:topLinePunct w:val="0"/>
        <w:autoSpaceDE/>
        <w:bidi w:val="0"/>
        <w:spacing w:beforeAutospacing="0" w:afterAutospacing="0" w:line="560" w:lineRule="exact"/>
        <w:jc w:val="center"/>
        <w:textAlignment w:val="auto"/>
      </w:pPr>
      <w:r>
        <w:rPr>
          <w:rStyle w:val="6"/>
          <w:rFonts w:ascii="黑体" w:hAnsi="宋体" w:eastAsia="黑体" w:cs="黑体"/>
          <w:sz w:val="31"/>
          <w:szCs w:val="31"/>
          <w:shd w:val="clear" w:color="auto" w:fill="FFFFFF"/>
        </w:rPr>
        <w:t>目    录</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Style w:val="6"/>
          <w:rFonts w:ascii="仿宋_GB2312" w:hAnsi="微软雅黑" w:eastAsia="仿宋_GB2312" w:cs="仿宋_GB2312"/>
          <w:sz w:val="32"/>
          <w:szCs w:val="32"/>
          <w:shd w:val="clear" w:color="auto" w:fill="FFFFFF"/>
        </w:rPr>
      </w:pPr>
      <w:r>
        <w:rPr>
          <w:rStyle w:val="6"/>
          <w:rFonts w:ascii="仿宋_GB2312" w:hAnsi="微软雅黑" w:eastAsia="仿宋_GB2312" w:cs="仿宋_GB2312"/>
          <w:sz w:val="32"/>
          <w:szCs w:val="32"/>
          <w:shd w:val="clear" w:color="auto" w:fill="FFFFFF"/>
        </w:rPr>
        <w:t> </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Style w:val="6"/>
          <w:rFonts w:hint="eastAsia" w:ascii="黑体" w:hAnsi="宋体" w:eastAsia="黑体" w:cs="黑体"/>
          <w:sz w:val="32"/>
          <w:szCs w:val="32"/>
          <w:shd w:val="clear" w:color="auto" w:fill="FFFFFF"/>
        </w:rPr>
      </w:pPr>
      <w:r>
        <w:rPr>
          <w:rStyle w:val="6"/>
          <w:rFonts w:hint="eastAsia" w:ascii="黑体" w:hAnsi="宋体" w:eastAsia="黑体" w:cs="黑体"/>
          <w:sz w:val="32"/>
          <w:szCs w:val="32"/>
          <w:shd w:val="clear" w:color="auto" w:fill="FFFFFF"/>
        </w:rPr>
        <w:t>第一部分：单位概况</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一、主要职能</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二、机构设置及人员构成情况</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3" w:firstLineChars="200"/>
        <w:jc w:val="both"/>
        <w:textAlignment w:val="auto"/>
        <w:rPr>
          <w:rFonts w:hint="eastAsia" w:ascii="仿宋_GB2312" w:hAnsi="Times New Roman" w:eastAsia="仿宋_GB2312" w:cs="Times New Roman"/>
          <w:b/>
          <w:bCs/>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第二部分：自治区公安厅直属森林公安一分局高峰派出所2026年单位预算情况说明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一、单位预算收支增减变化情况说明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二、单位预算收入总体情况说明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三、单位预算支出总体情况说明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四、政府性基金预算支出情况说明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五、国有资本经营预算支出情况说明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六、一般公共预算“三公”经费支出情况说明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七、机关运行经费安排情况说明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八、政府采购预算安排情况说明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九、国有资产占用情况说明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十、预算绩效目标情况说明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4" w:firstLineChars="213"/>
        <w:jc w:val="both"/>
        <w:textAlignment w:val="auto"/>
        <w:rPr>
          <w:rFonts w:hint="eastAsia" w:ascii="仿宋_GB2312" w:hAnsi="微软雅黑" w:eastAsia="仿宋_GB2312" w:cs="仿宋_GB2312"/>
          <w:b/>
          <w:bCs/>
          <w:sz w:val="32"/>
          <w:szCs w:val="32"/>
          <w:shd w:val="clear" w:color="auto" w:fill="FFFFFF"/>
        </w:rPr>
      </w:pPr>
      <w:r>
        <w:rPr>
          <w:rFonts w:hint="eastAsia" w:ascii="仿宋_GB2312" w:hAnsi="微软雅黑" w:eastAsia="仿宋_GB2312" w:cs="仿宋_GB2312"/>
          <w:b/>
          <w:bCs/>
          <w:sz w:val="32"/>
          <w:szCs w:val="32"/>
          <w:shd w:val="clear" w:color="auto" w:fill="FFFFFF"/>
        </w:rPr>
        <w:t>第三部分：名词解释</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4" w:firstLineChars="213"/>
        <w:jc w:val="both"/>
        <w:textAlignment w:val="auto"/>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b/>
          <w:bCs/>
          <w:sz w:val="32"/>
          <w:szCs w:val="32"/>
          <w:shd w:val="clear" w:color="auto" w:fill="FFFFFF"/>
        </w:rPr>
        <w:t>第四部分：自治区公安厅直属森林公安一分局</w:t>
      </w:r>
      <w:r>
        <w:rPr>
          <w:rFonts w:hint="eastAsia" w:ascii="仿宋_GB2312" w:hAnsi="微软雅黑" w:eastAsia="仿宋_GB2312" w:cs="仿宋_GB2312"/>
          <w:b/>
          <w:bCs/>
          <w:sz w:val="32"/>
          <w:szCs w:val="32"/>
          <w:shd w:val="clear" w:color="auto" w:fill="FFFFFF"/>
          <w:lang w:eastAsia="zh-CN"/>
        </w:rPr>
        <w:t>高峰</w:t>
      </w:r>
      <w:r>
        <w:rPr>
          <w:rFonts w:hint="eastAsia" w:ascii="仿宋_GB2312" w:hAnsi="微软雅黑" w:eastAsia="仿宋_GB2312" w:cs="仿宋_GB2312"/>
          <w:b/>
          <w:bCs/>
          <w:sz w:val="32"/>
          <w:szCs w:val="32"/>
          <w:shd w:val="clear" w:color="auto" w:fill="FFFFFF"/>
        </w:rPr>
        <w:t>派出所202</w:t>
      </w:r>
      <w:r>
        <w:rPr>
          <w:rFonts w:hint="eastAsia" w:ascii="仿宋_GB2312" w:hAnsi="微软雅黑" w:eastAsia="仿宋_GB2312" w:cs="仿宋_GB2312"/>
          <w:b/>
          <w:bCs/>
          <w:sz w:val="32"/>
          <w:szCs w:val="32"/>
          <w:shd w:val="clear" w:color="auto" w:fill="FFFFFF"/>
          <w:lang w:val="en-US" w:eastAsia="zh-CN"/>
        </w:rPr>
        <w:t>6</w:t>
      </w:r>
      <w:r>
        <w:rPr>
          <w:rFonts w:hint="eastAsia" w:ascii="仿宋_GB2312" w:hAnsi="微软雅黑" w:eastAsia="仿宋_GB2312" w:cs="仿宋_GB2312"/>
          <w:b/>
          <w:bCs/>
          <w:sz w:val="32"/>
          <w:szCs w:val="32"/>
          <w:shd w:val="clear" w:color="auto" w:fill="FFFFFF"/>
        </w:rPr>
        <w:t>年单位预算报表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微软雅黑" w:eastAsia="仿宋_GB2312" w:cs="仿宋_GB2312"/>
          <w:sz w:val="32"/>
          <w:szCs w:val="32"/>
          <w:shd w:val="clear" w:color="auto" w:fill="FFFFFF"/>
        </w:rPr>
        <w:t>表</w:t>
      </w:r>
      <w:r>
        <w:rPr>
          <w:rFonts w:hint="eastAsia" w:ascii="仿宋_GB2312" w:hAnsi="Times New Roman" w:eastAsia="仿宋_GB2312" w:cs="Times New Roman"/>
          <w:kern w:val="2"/>
          <w:sz w:val="32"/>
          <w:szCs w:val="32"/>
          <w:highlight w:val="none"/>
          <w:lang w:val="en-US" w:eastAsia="zh-CN" w:bidi="ar-SA"/>
        </w:rPr>
        <w:t>一：单位收支总体情况表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表二：单位收入总体情况表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表三：单位支出总体情况表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表四：财政拨款收支总体情况表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表五：一般公共预算支出情况表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表六：一般公共预算基本支出情况表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表七：财政拨款三公两费支出情况表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表八：政府性基金预算支出情况表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表九：国有资本经营预算支出情况表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表十：</w:t>
      </w:r>
      <w:r>
        <w:rPr>
          <w:rStyle w:val="6"/>
          <w:rFonts w:hint="eastAsia" w:ascii="仿宋_GB2312" w:hAnsi="仿宋_GB2312" w:eastAsia="仿宋_GB2312" w:cs="仿宋_GB2312"/>
          <w:b w:val="0"/>
          <w:sz w:val="31"/>
          <w:szCs w:val="31"/>
          <w:shd w:val="clear" w:color="auto" w:fill="FFFFFF"/>
        </w:rPr>
        <w:t>自治区本级项目绩效目标公开表</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60" w:firstLineChars="213"/>
        <w:jc w:val="both"/>
        <w:textAlignment w:val="auto"/>
        <w:rPr>
          <w:rFonts w:hint="eastAsia" w:ascii="仿宋_GB2312" w:hAnsi="Times New Roman" w:eastAsia="仿宋_GB2312" w:cs="Times New Roman"/>
          <w:kern w:val="2"/>
          <w:sz w:val="32"/>
          <w:szCs w:val="32"/>
          <w:highlight w:val="none"/>
          <w:lang w:val="en-US" w:eastAsia="zh-CN" w:bidi="ar-SA"/>
        </w:rPr>
        <w:sectPr>
          <w:footerReference r:id="rId3" w:type="default"/>
          <w:pgSz w:w="11906" w:h="16838"/>
          <w:pgMar w:top="1440" w:right="1800" w:bottom="1440" w:left="1800" w:header="1417" w:footer="1417" w:gutter="0"/>
          <w:pgNumType w:fmt="numberInDash" w:start="1"/>
          <w:cols w:space="0" w:num="1"/>
          <w:rtlGutter w:val="0"/>
          <w:docGrid w:type="lines" w:linePitch="312" w:charSpace="0"/>
        </w:sectPr>
      </w:pPr>
      <w:r>
        <w:rPr>
          <w:rStyle w:val="6"/>
          <w:rFonts w:hint="eastAsia" w:ascii="仿宋_GB2312" w:hAnsi="仿宋_GB2312" w:eastAsia="仿宋_GB2312" w:cs="仿宋_GB2312"/>
          <w:b w:val="0"/>
          <w:sz w:val="31"/>
          <w:szCs w:val="31"/>
          <w:shd w:val="clear" w:color="auto" w:fill="FFFFFF"/>
        </w:rPr>
        <w:t>表十</w:t>
      </w:r>
      <w:r>
        <w:rPr>
          <w:rStyle w:val="6"/>
          <w:rFonts w:hint="eastAsia" w:ascii="仿宋_GB2312" w:hAnsi="仿宋_GB2312" w:eastAsia="仿宋_GB2312" w:cs="仿宋_GB2312"/>
          <w:b w:val="0"/>
          <w:sz w:val="31"/>
          <w:szCs w:val="31"/>
          <w:shd w:val="clear" w:color="auto" w:fill="FFFFFF"/>
          <w:lang w:eastAsia="zh-CN"/>
        </w:rPr>
        <w:t>一</w:t>
      </w:r>
      <w:r>
        <w:rPr>
          <w:rStyle w:val="6"/>
          <w:rFonts w:hint="eastAsia" w:ascii="仿宋_GB2312" w:hAnsi="仿宋_GB2312" w:eastAsia="仿宋_GB2312" w:cs="仿宋_GB2312"/>
          <w:b w:val="0"/>
          <w:sz w:val="31"/>
          <w:szCs w:val="31"/>
          <w:shd w:val="clear" w:color="auto" w:fill="FFFFFF"/>
        </w:rPr>
        <w:t>：</w:t>
      </w:r>
      <w:r>
        <w:rPr>
          <w:rFonts w:hint="eastAsia" w:ascii="仿宋_GB2312" w:hAnsi="Times New Roman" w:eastAsia="仿宋_GB2312" w:cs="Times New Roman"/>
          <w:kern w:val="2"/>
          <w:sz w:val="32"/>
          <w:szCs w:val="32"/>
          <w:highlight w:val="none"/>
          <w:lang w:val="en-US" w:eastAsia="zh-CN" w:bidi="ar-SA"/>
        </w:rPr>
        <w:t>自治区对下转移支付项目绩效目标公开表</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黑体" w:hAnsi="宋体" w:eastAsia="黑体" w:cs="黑体"/>
          <w:sz w:val="31"/>
          <w:szCs w:val="31"/>
          <w:shd w:val="clear" w:color="auto" w:fill="FFFFFF"/>
        </w:rPr>
        <w:t>第一部分：单位概况</w:t>
      </w:r>
    </w:p>
    <w:p>
      <w:pPr>
        <w:keepNext w:val="0"/>
        <w:keepLines w:val="0"/>
        <w:pageBreakBefore w:val="0"/>
        <w:kinsoku/>
        <w:wordWrap/>
        <w:overflowPunct/>
        <w:topLinePunct w:val="0"/>
        <w:autoSpaceDE/>
        <w:autoSpaceDN/>
        <w:bidi w:val="0"/>
        <w:adjustRightInd w:val="0"/>
        <w:snapToGrid w:val="0"/>
        <w:spacing w:line="560" w:lineRule="exact"/>
        <w:ind w:right="-218" w:rightChars="-104" w:firstLine="681" w:firstLineChars="213"/>
        <w:textAlignment w:val="auto"/>
        <w:rPr>
          <w:rFonts w:hint="eastAsia" w:ascii="黑体" w:hAnsi="宋体" w:eastAsia="黑体" w:cs="Times New Roman"/>
          <w:bCs/>
          <w:sz w:val="32"/>
          <w:szCs w:val="32"/>
          <w:lang w:eastAsia="zh-CN"/>
        </w:rPr>
      </w:pPr>
      <w:r>
        <w:rPr>
          <w:rFonts w:hint="eastAsia" w:ascii="黑体" w:hAnsi="宋体" w:eastAsia="黑体" w:cs="Times New Roman"/>
          <w:bCs/>
          <w:sz w:val="32"/>
          <w:szCs w:val="32"/>
        </w:rPr>
        <w:t>一、主要职</w:t>
      </w:r>
      <w:r>
        <w:rPr>
          <w:rFonts w:hint="eastAsia" w:ascii="黑体" w:hAnsi="宋体" w:eastAsia="黑体" w:cs="Times New Roman"/>
          <w:bCs/>
          <w:sz w:val="32"/>
          <w:szCs w:val="32"/>
          <w:lang w:val="en-US" w:eastAsia="zh-CN"/>
        </w:rPr>
        <w:t>责</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自治区公安厅直属森林公安一分局高峰派出所主要职责是：</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（一）负责实施本辖区所管护林区和草原的治安管理工作，协助对应的林业主管部门做好维护林区稳定工作；</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（二）办理本辖区涉及森林和草原刑事案件、治安案件和法律规定的相关行政案件；</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（三）实施本辖区的森林和草原防火相关工作，负责火场警戒、交通疏导、治安维护、火案侦破等；</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宋体" w:eastAsia="仿宋_GB2312" w:cs="Times New Roman"/>
          <w:kern w:val="2"/>
          <w:sz w:val="32"/>
          <w:szCs w:val="32"/>
          <w:lang w:val="en-US" w:eastAsia="zh-CN" w:bidi="ar-SA"/>
        </w:rPr>
      </w:pPr>
      <w:r>
        <w:rPr>
          <w:rFonts w:hint="eastAsia" w:ascii="仿宋_GB2312" w:hAnsi="Times New Roman" w:eastAsia="仿宋_GB2312" w:cs="Times New Roman"/>
          <w:kern w:val="2"/>
          <w:sz w:val="32"/>
          <w:szCs w:val="32"/>
          <w:highlight w:val="none"/>
          <w:lang w:val="en-US" w:eastAsia="zh-CN" w:bidi="ar-SA"/>
        </w:rPr>
        <w:t>（四）协同对应的林业主管部门开展防火宣传、火灾隐患排查、重点区域巡护、违规用火处罚等工作。</w:t>
      </w:r>
    </w:p>
    <w:p>
      <w:pPr>
        <w:keepNext w:val="0"/>
        <w:keepLines w:val="0"/>
        <w:pageBreakBefore w:val="0"/>
        <w:kinsoku/>
        <w:wordWrap/>
        <w:overflowPunct/>
        <w:topLinePunct w:val="0"/>
        <w:autoSpaceDE/>
        <w:autoSpaceDN/>
        <w:bidi w:val="0"/>
        <w:adjustRightInd w:val="0"/>
        <w:snapToGrid w:val="0"/>
        <w:spacing w:line="560" w:lineRule="exact"/>
        <w:ind w:right="-218" w:rightChars="-104" w:firstLine="361" w:firstLineChars="113"/>
        <w:jc w:val="both"/>
        <w:textAlignment w:val="auto"/>
        <w:rPr>
          <w:rFonts w:hint="eastAsia" w:ascii="黑体" w:hAnsi="宋体" w:eastAsia="黑体" w:cs="Times New Roman"/>
          <w:bCs/>
          <w:sz w:val="32"/>
          <w:szCs w:val="32"/>
        </w:rPr>
      </w:pPr>
      <w:r>
        <w:rPr>
          <w:rFonts w:hint="eastAsia" w:ascii="黑体" w:hAnsi="宋体" w:eastAsia="黑体" w:cs="Times New Roman"/>
          <w:bCs/>
          <w:sz w:val="32"/>
          <w:szCs w:val="32"/>
        </w:rPr>
        <w:t>二、机构设置及人员构成情况</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ascii="仿宋_GB2312" w:hAnsi="仿宋_GB2312" w:eastAsia="仿宋_GB2312" w:cs="仿宋_GB2312"/>
          <w:b/>
          <w:bCs/>
          <w:color w:val="FF0000"/>
          <w:sz w:val="32"/>
          <w:szCs w:val="32"/>
        </w:rPr>
      </w:pPr>
      <w:bookmarkStart w:id="0" w:name="_Hlk95820258"/>
      <w:r>
        <w:rPr>
          <w:rFonts w:hint="eastAsia" w:ascii="仿宋_GB2312" w:hAnsi="宋体" w:eastAsia="仿宋_GB2312" w:cs="Times New Roman"/>
          <w:kern w:val="2"/>
          <w:sz w:val="32"/>
          <w:szCs w:val="32"/>
          <w:highlight w:val="none"/>
          <w:lang w:val="en-US" w:eastAsia="zh-CN" w:bidi="ar-SA"/>
        </w:rPr>
        <w:t>广西壮族自治区公安厅直属森林公安一分局高峰派出所</w:t>
      </w:r>
      <w:bookmarkEnd w:id="0"/>
      <w:r>
        <w:rPr>
          <w:rFonts w:hint="eastAsia" w:ascii="仿宋_GB2312" w:hAnsi="宋体" w:eastAsia="仿宋_GB2312" w:cs="Times New Roman"/>
          <w:kern w:val="2"/>
          <w:sz w:val="32"/>
          <w:szCs w:val="32"/>
          <w:highlight w:val="none"/>
          <w:lang w:val="en-US" w:eastAsia="zh-CN" w:bidi="ar-SA"/>
        </w:rPr>
        <w:t>是自治区公安厅三级预算单位。现有行政编制</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25</w:t>
      </w:r>
      <w:r>
        <w:rPr>
          <w:rFonts w:hint="eastAsia" w:ascii="仿宋_GB2312" w:hAnsi="宋体" w:eastAsia="仿宋_GB2312" w:cs="Times New Roman"/>
          <w:kern w:val="2"/>
          <w:sz w:val="32"/>
          <w:szCs w:val="32"/>
          <w:highlight w:val="none"/>
          <w:lang w:val="en-US" w:eastAsia="zh-CN" w:bidi="ar-SA"/>
        </w:rPr>
        <w:t>人，在职人数23人。机关后勤服务控制人数3人，实有1人。退休民警</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15</w:t>
      </w:r>
      <w:r>
        <w:rPr>
          <w:rFonts w:hint="eastAsia" w:ascii="仿宋_GB2312" w:hAnsi="宋体" w:eastAsia="仿宋_GB2312" w:cs="Times New Roman"/>
          <w:kern w:val="2"/>
          <w:sz w:val="32"/>
          <w:szCs w:val="32"/>
          <w:highlight w:val="none"/>
          <w:lang w:val="en-US" w:eastAsia="zh-CN" w:bidi="ar-SA"/>
        </w:rPr>
        <w:t>人。</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黑体" w:hAnsi="宋体" w:eastAsia="黑体" w:cs="黑体"/>
          <w:sz w:val="31"/>
          <w:szCs w:val="31"/>
          <w:shd w:val="clear" w:color="auto" w:fill="FFFFFF"/>
        </w:rPr>
        <w:t>第二部分：自治区公安厅直属森林公安一分局</w:t>
      </w:r>
      <w:r>
        <w:rPr>
          <w:rFonts w:hint="eastAsia" w:ascii="黑体" w:hAnsi="宋体" w:eastAsia="黑体" w:cs="黑体"/>
          <w:sz w:val="31"/>
          <w:szCs w:val="31"/>
          <w:shd w:val="clear" w:color="auto" w:fill="FFFFFF"/>
          <w:lang w:eastAsia="zh-CN"/>
        </w:rPr>
        <w:t>高峰</w:t>
      </w:r>
      <w:r>
        <w:rPr>
          <w:rFonts w:hint="eastAsia" w:ascii="黑体" w:hAnsi="宋体" w:eastAsia="黑体" w:cs="黑体"/>
          <w:sz w:val="31"/>
          <w:szCs w:val="31"/>
          <w:shd w:val="clear" w:color="auto" w:fill="FFFFFF"/>
        </w:rPr>
        <w:t>派出所202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年单位预算情况说明</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黑体" w:hAnsi="宋体" w:eastAsia="黑体" w:cs="黑体"/>
          <w:sz w:val="31"/>
          <w:szCs w:val="31"/>
          <w:shd w:val="clear" w:color="auto" w:fill="FFFFFF"/>
        </w:rPr>
        <w:t>一、单位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收支</w:t>
      </w:r>
      <w:r>
        <w:rPr>
          <w:rFonts w:hint="eastAsia" w:ascii="黑体" w:hAnsi="宋体" w:eastAsia="黑体" w:cs="黑体"/>
          <w:sz w:val="31"/>
          <w:szCs w:val="31"/>
          <w:shd w:val="clear" w:color="auto" w:fill="FFFFFF"/>
          <w:lang w:eastAsia="zh-CN"/>
        </w:rPr>
        <w:t>增减变化</w:t>
      </w:r>
      <w:r>
        <w:rPr>
          <w:rFonts w:hint="eastAsia" w:ascii="黑体" w:hAnsi="宋体" w:eastAsia="黑体" w:cs="黑体"/>
          <w:sz w:val="31"/>
          <w:szCs w:val="31"/>
          <w:shd w:val="clear" w:color="auto" w:fill="FFFFFF"/>
        </w:rPr>
        <w:t>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2026年收入总预算750.58万元，同比增长64.25万元，增长9.36％。</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收入增长的主要原因：2026年有人员增资，相应的人员经费增加支出。</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2026年支出总预算750.58万元，基本支出预算657.79万元，占支出总预算87.64％，同比增长28.32万元，增长4.50％。项目支出预算92.79万元，占支出总预算12.36％，同比增长35.93万元，增长63.19％。</w:t>
      </w:r>
      <w:bookmarkStart w:id="1" w:name="_Hlk96859117"/>
      <w:bookmarkEnd w:id="1"/>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default" w:ascii="仿宋_GB2312" w:hAnsi="宋体" w:eastAsia="仿宋_GB2312" w:cs="Times New Roman"/>
          <w:color w:val="FF0000"/>
          <w:kern w:val="2"/>
          <w:sz w:val="32"/>
          <w:szCs w:val="32"/>
          <w:highlight w:val="none"/>
          <w:lang w:val="en-US" w:eastAsia="zh-CN" w:bidi="ar-SA"/>
        </w:rPr>
      </w:pP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支出增长的主要原因：基本支出财政供养人员的职务、职级变动导致工资总额增加，与之相关补贴经费增加，社会保障缴费也增加。</w:t>
      </w:r>
    </w:p>
    <w:p>
      <w:pPr>
        <w:keepNext w:val="0"/>
        <w:keepLines w:val="0"/>
        <w:pageBreakBefore w:val="0"/>
        <w:kinsoku/>
        <w:wordWrap/>
        <w:overflowPunct/>
        <w:topLinePunct w:val="0"/>
        <w:autoSpaceDE/>
        <w:autoSpaceDN/>
        <w:bidi w:val="0"/>
        <w:adjustRightInd w:val="0"/>
        <w:snapToGrid w:val="0"/>
        <w:spacing w:line="560" w:lineRule="exact"/>
        <w:ind w:right="-218" w:rightChars="-104" w:firstLine="640" w:firstLineChars="200"/>
        <w:jc w:val="both"/>
        <w:textAlignment w:val="auto"/>
        <w:rPr>
          <w:rFonts w:hint="eastAsia" w:ascii="黑体" w:hAnsi="宋体" w:eastAsia="黑体" w:cs="Times New Roman"/>
          <w:bCs/>
          <w:sz w:val="32"/>
          <w:szCs w:val="32"/>
        </w:rPr>
      </w:pPr>
      <w:r>
        <w:rPr>
          <w:rFonts w:hint="eastAsia" w:ascii="黑体" w:hAnsi="宋体" w:eastAsia="黑体" w:cs="Times New Roman"/>
          <w:bCs/>
          <w:sz w:val="32"/>
          <w:szCs w:val="32"/>
        </w:rPr>
        <w:t>二、</w:t>
      </w:r>
      <w:r>
        <w:rPr>
          <w:rFonts w:hint="eastAsia" w:ascii="黑体" w:hAnsi="宋体" w:eastAsia="黑体" w:cs="黑体"/>
          <w:sz w:val="31"/>
          <w:szCs w:val="31"/>
          <w:shd w:val="clear" w:color="auto" w:fill="FFFFFF"/>
        </w:rPr>
        <w:t>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收入总体情况说明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2026年收入总预算750.58万元，同比增长64.25万元，增长9.36％。</w:t>
      </w:r>
    </w:p>
    <w:p>
      <w:pPr>
        <w:pStyle w:val="4"/>
        <w:keepNext w:val="0"/>
        <w:keepLines w:val="0"/>
        <w:pageBreakBefore w:val="0"/>
        <w:widowControl/>
        <w:kinsoku/>
        <w:wordWrap/>
        <w:overflowPunct/>
        <w:topLinePunct w:val="0"/>
        <w:autoSpaceDE/>
        <w:autoSpaceDN/>
        <w:bidi w:val="0"/>
        <w:spacing w:beforeAutospacing="0" w:afterAutospacing="0" w:line="560" w:lineRule="exact"/>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其中：一般公共预算收入750.58万元，同比增长64.25万元，增长9.36％。；上年结转结余资金收入0万元。</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ascii="仿宋_GB2312" w:hAnsi="微软雅黑" w:eastAsia="仿宋_GB2312" w:cs="仿宋_GB2312"/>
          <w:color w:val="FF0000"/>
          <w:sz w:val="31"/>
          <w:szCs w:val="31"/>
          <w:shd w:val="clear" w:color="auto" w:fill="FFFFFF"/>
        </w:rPr>
      </w:pP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收入增长的主要原因：财政供养人员的职务、职级变动工资总额增加，与之相关补贴经费增加，社会保障缴费也增加。</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黑体" w:hAnsi="宋体" w:eastAsia="黑体" w:cs="黑体"/>
          <w:sz w:val="31"/>
          <w:szCs w:val="31"/>
          <w:shd w:val="clear" w:color="auto" w:fill="FFFFFF"/>
        </w:rPr>
        <w:t>三、单位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支出总体情况说明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 xml:space="preserve"> 2026年支出总预算750.58万元，基本支出预算657.79万元，占支出总预算87.64％，同比增长28.32万元，增长4.50％。项目支出预算92.79万元，占支出总预算12.36％，同比增长35.93万元，增长63.19％。</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（一）按支出功能分类科目划分，共分为四类，其中：</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kern w:val="2"/>
          <w:sz w:val="32"/>
          <w:szCs w:val="32"/>
          <w:highlight w:val="none"/>
          <w:lang w:val="en-US" w:eastAsia="zh-CN" w:bidi="ar-SA"/>
        </w:rPr>
        <w:t>204公共安全支出类科目支出577.51万元，占支出总预算76.94%，同比增长61.70万元，增长11.96％。</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增长原因：</w:t>
      </w:r>
      <w:r>
        <w:rPr>
          <w:rFonts w:hint="eastAsia" w:ascii="仿宋_GB2312" w:hAnsi="宋体" w:eastAsia="仿宋_GB2312" w:cs="Times New Roman"/>
          <w:kern w:val="2"/>
          <w:sz w:val="32"/>
          <w:szCs w:val="32"/>
          <w:highlight w:val="none"/>
          <w:lang w:val="en-US" w:eastAsia="zh-CN" w:bidi="ar-SA"/>
        </w:rPr>
        <w:t>财政供养人员的职务、职级变动</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导致工资总额增加，与之相关补贴经费增加，社会保障缴费也增加。</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color w:val="ED7D31" w:themeColor="accent2"/>
          <w:kern w:val="2"/>
          <w:sz w:val="32"/>
          <w:szCs w:val="32"/>
          <w:highlight w:val="none"/>
          <w:lang w:val="en-US" w:eastAsia="zh-CN" w:bidi="ar-SA"/>
          <w14:textFill>
            <w14:solidFill>
              <w14:schemeClr w14:val="accent2"/>
            </w14:solidFill>
          </w14:textFill>
        </w:rPr>
      </w:pPr>
      <w:r>
        <w:rPr>
          <w:rFonts w:hint="eastAsia" w:ascii="仿宋_GB2312" w:hAnsi="宋体" w:eastAsia="仿宋_GB2312" w:cs="Times New Roman"/>
          <w:kern w:val="2"/>
          <w:sz w:val="32"/>
          <w:szCs w:val="32"/>
          <w:highlight w:val="none"/>
          <w:lang w:val="en-US" w:eastAsia="zh-CN" w:bidi="ar-SA"/>
        </w:rPr>
        <w:t>208社会保障和就业支出类科目支出102.62万元，占支出总预算13.67％，同比增加1.36万元，增加1.34％；</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增加原因：</w:t>
      </w:r>
      <w:r>
        <w:rPr>
          <w:rFonts w:hint="eastAsia" w:ascii="仿宋_GB2312" w:hAnsi="宋体" w:eastAsia="仿宋_GB2312" w:cs="Times New Roman"/>
          <w:kern w:val="2"/>
          <w:sz w:val="32"/>
          <w:szCs w:val="32"/>
          <w:highlight w:val="none"/>
          <w:lang w:val="en-US" w:eastAsia="zh-CN" w:bidi="ar-SA"/>
        </w:rPr>
        <w:t>财政供养人员的职务、职级变动</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导致工资总额增加，与之相关的社会保障缴费也增加。</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kern w:val="2"/>
          <w:sz w:val="32"/>
          <w:szCs w:val="32"/>
          <w:highlight w:val="none"/>
          <w:lang w:val="en-US" w:eastAsia="zh-CN" w:bidi="ar-SA"/>
        </w:rPr>
        <w:t>210卫生健康支出类科目支出26.87万元，占支出总预算3.58％，同比增长0.45万元，增长1.70％；</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增长原因：财政供养人员的职务、职级变动，导致相关的卫生健康支出增长。</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221住房保障支出类科目支出43.57万元，占支出总预算5.80％，同比增长0.73万元，增长1.70％。增长原因：财政供养人员的职务、职级变动，导致相关的住房保障支出增长。</w:t>
      </w:r>
    </w:p>
    <w:p>
      <w:pPr>
        <w:pStyle w:val="4"/>
        <w:keepNext w:val="0"/>
        <w:keepLines w:val="0"/>
        <w:pageBreakBefore w:val="0"/>
        <w:widowControl/>
        <w:numPr>
          <w:ilvl w:val="0"/>
          <w:numId w:val="1"/>
        </w:numPr>
        <w:kinsoku/>
        <w:wordWrap/>
        <w:overflowPunct/>
        <w:topLinePunct w:val="0"/>
        <w:autoSpaceDE/>
        <w:autoSpaceDN/>
        <w:bidi w:val="0"/>
        <w:spacing w:beforeAutospacing="0" w:afterAutospacing="0" w:line="560" w:lineRule="exact"/>
        <w:ind w:firstLine="361" w:firstLineChars="1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按支出结构划分为基本支出和项目支出。</w:t>
      </w:r>
    </w:p>
    <w:p>
      <w:pPr>
        <w:pStyle w:val="4"/>
        <w:keepNext w:val="0"/>
        <w:keepLines w:val="0"/>
        <w:pageBreakBefore w:val="0"/>
        <w:widowControl/>
        <w:numPr>
          <w:ilvl w:val="0"/>
          <w:numId w:val="0"/>
        </w:numPr>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1．基本支出预算</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基本支出预算657.79万元，占支出总预算87.64％，同比增长28.32万元，增长4.50％。</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kern w:val="2"/>
          <w:sz w:val="32"/>
          <w:szCs w:val="32"/>
          <w:highlight w:val="none"/>
          <w:lang w:val="en-US" w:eastAsia="zh-CN" w:bidi="ar-SA"/>
        </w:rPr>
        <w:t>人员经费预算538.01万元，占基本支出预算81.79％，同比增长8.36万元，增长1.58％。增长原因：财政供养人员的职务、职级变动,</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相应的人员经费</w:t>
      </w:r>
      <w:r>
        <w:rPr>
          <w:rFonts w:hint="eastAsia" w:ascii="仿宋_GB2312" w:hAnsi="宋体" w:eastAsia="仿宋_GB2312" w:cs="Times New Roman"/>
          <w:kern w:val="2"/>
          <w:sz w:val="32"/>
          <w:szCs w:val="32"/>
          <w:highlight w:val="none"/>
          <w:lang w:val="en-US" w:eastAsia="zh-CN" w:bidi="ar-SA"/>
        </w:rPr>
        <w:t>增长。其中：工资福利支出预算496.96万元，占基本支出预算75.55％，同比增长8.05万元，增长1.65％；增长原因：财政供养人员的职务、职级变动，相应的工资福利支出增长。对个人和家庭的补助预算41.04万元，占基本支出预算6.24％，同比增长0.30万元，增长0.74％。</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增长原因：其他对个人和家庭的补助费用增加。</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公用经费预算119.78万元，占基本支出预算18.21％，同比增长19.96万元，增长20％。增长原因：由于办公楼物业管理费在公用经费中开支。</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2.项目支出预算</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kern w:val="2"/>
          <w:sz w:val="32"/>
          <w:szCs w:val="32"/>
          <w:highlight w:val="none"/>
          <w:lang w:val="en-US" w:eastAsia="zh-CN" w:bidi="ar-SA"/>
        </w:rPr>
        <w:t>项目支出预算92.79万元，占支出总预算12.36％，同比增长35.93万元，增长63.19％。</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支出增长原因主要为:新增旧办公楼设施设备搬迁费用及新办公楼办</w:t>
      </w:r>
      <w:r>
        <w:rPr>
          <w:rFonts w:hint="eastAsia" w:ascii="仿宋_GB2312" w:hAnsi="微软雅黑" w:eastAsia="仿宋_GB2312" w:cs="仿宋_GB2312"/>
          <w:color w:val="000000" w:themeColor="text1"/>
          <w:sz w:val="31"/>
          <w:szCs w:val="31"/>
          <w:shd w:val="clear" w:color="auto" w:fill="FFFFFF"/>
          <w14:textFill>
            <w14:solidFill>
              <w14:schemeClr w14:val="tx1"/>
            </w14:solidFill>
          </w14:textFill>
        </w:rPr>
        <w:t>案</w:t>
      </w:r>
      <w:r>
        <w:rPr>
          <w:rFonts w:hint="eastAsia" w:ascii="仿宋_GB2312" w:hAnsi="微软雅黑" w:eastAsia="仿宋_GB2312" w:cs="仿宋_GB2312"/>
          <w:color w:val="000000" w:themeColor="text1"/>
          <w:sz w:val="31"/>
          <w:szCs w:val="31"/>
          <w:shd w:val="clear" w:color="auto" w:fill="FFFFFF"/>
          <w:lang w:val="en-US" w:eastAsia="zh-CN"/>
          <w14:textFill>
            <w14:solidFill>
              <w14:schemeClr w14:val="tx1"/>
            </w14:solidFill>
          </w14:textFill>
        </w:rPr>
        <w:t>区升级改造费用</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四、政府性基金预算支出情况说明</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Fonts w:hint="eastAsia" w:ascii="黑体" w:hAnsi="宋体" w:eastAsia="仿宋_GB2312" w:cs="黑体"/>
          <w:sz w:val="31"/>
          <w:szCs w:val="31"/>
          <w:shd w:val="clear" w:color="auto" w:fill="FFFFFF"/>
          <w:lang w:eastAsia="zh-CN"/>
        </w:rPr>
      </w:pPr>
      <w:r>
        <w:rPr>
          <w:rFonts w:hint="eastAsia" w:ascii="仿宋_GB2312" w:hAnsi="微软雅黑" w:eastAsia="仿宋_GB2312" w:cs="仿宋_GB2312"/>
          <w:sz w:val="31"/>
          <w:szCs w:val="31"/>
          <w:shd w:val="clear" w:color="auto" w:fill="FFFFFF"/>
        </w:rPr>
        <w:t>我单位</w:t>
      </w:r>
      <w:r>
        <w:rPr>
          <w:rFonts w:hint="eastAsia" w:ascii="仿宋_GB2312" w:hAnsi="微软雅黑" w:eastAsia="仿宋_GB2312" w:cs="仿宋_GB2312"/>
          <w:sz w:val="31"/>
          <w:szCs w:val="31"/>
          <w:shd w:val="clear" w:color="auto" w:fill="FFFFFF"/>
          <w:lang w:val="en-US" w:eastAsia="zh-CN"/>
        </w:rPr>
        <w:t>2026年</w:t>
      </w:r>
      <w:r>
        <w:rPr>
          <w:rFonts w:hint="eastAsia" w:ascii="仿宋_GB2312" w:hAnsi="微软雅黑" w:eastAsia="仿宋_GB2312" w:cs="仿宋_GB2312"/>
          <w:sz w:val="31"/>
          <w:szCs w:val="31"/>
          <w:shd w:val="clear" w:color="auto" w:fill="FFFFFF"/>
        </w:rPr>
        <w:t>无政府性基金预算收支</w:t>
      </w:r>
      <w:r>
        <w:rPr>
          <w:rFonts w:hint="eastAsia" w:ascii="仿宋_GB2312" w:hAnsi="微软雅黑" w:eastAsia="仿宋_GB2312" w:cs="仿宋_GB2312"/>
          <w:sz w:val="31"/>
          <w:szCs w:val="31"/>
          <w:shd w:val="clear" w:color="auto" w:fill="FFFFFF"/>
          <w:lang w:eastAsia="zh-CN"/>
        </w:rPr>
        <w:t>。</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五、</w:t>
      </w:r>
      <w:r>
        <w:rPr>
          <w:rFonts w:hint="eastAsia" w:ascii="黑体" w:hAnsi="宋体" w:eastAsia="黑体" w:cs="黑体"/>
          <w:sz w:val="31"/>
          <w:szCs w:val="31"/>
          <w:shd w:val="clear" w:color="auto" w:fill="FFFFFF"/>
          <w:lang w:eastAsia="zh-CN"/>
        </w:rPr>
        <w:t>国有资本经营</w:t>
      </w:r>
      <w:r>
        <w:rPr>
          <w:rFonts w:hint="eastAsia" w:ascii="黑体" w:hAnsi="宋体" w:eastAsia="黑体" w:cs="黑体"/>
          <w:sz w:val="31"/>
          <w:szCs w:val="31"/>
          <w:shd w:val="clear" w:color="auto" w:fill="FFFFFF"/>
        </w:rPr>
        <w:t>预算支出情况说明</w:t>
      </w:r>
    </w:p>
    <w:p>
      <w:pPr>
        <w:pStyle w:val="4"/>
        <w:keepNext w:val="0"/>
        <w:keepLines w:val="0"/>
        <w:pageBreakBefore w:val="0"/>
        <w:widowControl/>
        <w:kinsoku/>
        <w:wordWrap/>
        <w:overflowPunct/>
        <w:topLinePunct w:val="0"/>
        <w:autoSpaceDE/>
        <w:bidi w:val="0"/>
        <w:spacing w:beforeAutospacing="0" w:afterAutospacing="0" w:line="560" w:lineRule="exact"/>
        <w:ind w:firstLine="646"/>
        <w:jc w:val="both"/>
        <w:textAlignment w:val="auto"/>
        <w:rPr>
          <w:rFonts w:hint="eastAsia" w:ascii="黑体" w:hAnsi="宋体" w:eastAsia="黑体" w:cs="黑体"/>
          <w:color w:val="5B9BD5" w:themeColor="accent1"/>
          <w:sz w:val="31"/>
          <w:szCs w:val="31"/>
          <w:shd w:val="clear" w:color="auto" w:fill="FFFFFF"/>
          <w14:textFill>
            <w14:solidFill>
              <w14:schemeClr w14:val="accent1"/>
            </w14:solidFill>
          </w14:textFill>
        </w:rPr>
      </w:pPr>
      <w:r>
        <w:rPr>
          <w:rFonts w:hint="eastAsia" w:ascii="仿宋_GB2312" w:hAnsi="微软雅黑" w:eastAsia="仿宋_GB2312" w:cs="仿宋_GB2312"/>
          <w:sz w:val="31"/>
          <w:szCs w:val="31"/>
          <w:shd w:val="clear" w:color="auto" w:fill="FFFFFF"/>
        </w:rPr>
        <w:t>我单位202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年单位预算无国有资本经营预算。</w:t>
      </w:r>
    </w:p>
    <w:p>
      <w:pPr>
        <w:pStyle w:val="4"/>
        <w:keepNext w:val="0"/>
        <w:keepLines w:val="0"/>
        <w:pageBreakBefore w:val="0"/>
        <w:widowControl/>
        <w:kinsoku/>
        <w:wordWrap/>
        <w:overflowPunct/>
        <w:topLinePunct w:val="0"/>
        <w:autoSpaceDE/>
        <w:bidi w:val="0"/>
        <w:spacing w:beforeAutospacing="0" w:afterAutospacing="0" w:line="560" w:lineRule="exact"/>
        <w:ind w:firstLine="646"/>
        <w:jc w:val="both"/>
        <w:textAlignment w:val="auto"/>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六、一般公共预算“三公”经费支出情况说明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我单位2026年一般公共预算安排的“三公”经费支出预算30.32万元，同口径比上年增长18.40万元，增长154.36％，具体如下：</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1.因公出国（境）费2026年预算安排0万元，比上年增长0万元，与上年持平。</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2.公务接待费2026年预算安排0万元，比上年增长0万元，与上年持平。</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3.公务用车购置及运行费2026年预算安排30.32万元，比上年增长18.40万元，增长154.36％，其中：</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FF0000"/>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公务用车购置费2026年预算安排19.00万元，上年预算安排0.00万元，比上年增长19.00万元。</w:t>
      </w:r>
      <w:r>
        <w:rPr>
          <w:rFonts w:hint="eastAsia" w:ascii="仿宋_GB2312" w:hAnsi="宋体" w:eastAsia="仿宋_GB2312" w:cs="Times New Roman"/>
          <w:color w:val="FF0000"/>
          <w:kern w:val="2"/>
          <w:sz w:val="32"/>
          <w:szCs w:val="32"/>
          <w:highlight w:val="none"/>
          <w:lang w:val="en-US" w:eastAsia="zh-CN" w:bidi="ar-SA"/>
        </w:rPr>
        <w:t>增长原因：本年新增购买公务用车1辆。</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FF0000"/>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公务用车运行维护费2026年预算安排11.32万元，比上年减少0.60万元，减少5.03%。</w:t>
      </w:r>
      <w:r>
        <w:rPr>
          <w:rFonts w:hint="eastAsia" w:ascii="仿宋_GB2312" w:hAnsi="宋体" w:eastAsia="仿宋_GB2312" w:cs="Times New Roman"/>
          <w:color w:val="FF0000"/>
          <w:kern w:val="2"/>
          <w:sz w:val="32"/>
          <w:szCs w:val="32"/>
          <w:highlight w:val="none"/>
          <w:lang w:val="en-US" w:eastAsia="zh-CN" w:bidi="ar-SA"/>
        </w:rPr>
        <w:t>减少原因：车辆维修费用减少。</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七、机关运行经费安排情况说明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2026年机关运行经费预算119.78万元，同比增长19.96万元，增长20％。机关运行经费保障公安厅直属森林公安一分局高峰派出所日常运行，主要用于办公费、办公用房水电费、邮电费、办公用房物业管理费、差旅费、日常维修费、工会费、公务用车运行维护费以及其他费用。</w:t>
      </w:r>
    </w:p>
    <w:p>
      <w:pPr>
        <w:pStyle w:val="4"/>
        <w:keepNext w:val="0"/>
        <w:keepLines w:val="0"/>
        <w:pageBreakBefore w:val="0"/>
        <w:widowControl/>
        <w:numPr>
          <w:ilvl w:val="0"/>
          <w:numId w:val="2"/>
        </w:numPr>
        <w:kinsoku/>
        <w:wordWrap/>
        <w:overflowPunct/>
        <w:topLinePunct w:val="0"/>
        <w:autoSpaceDE/>
        <w:bidi w:val="0"/>
        <w:spacing w:beforeAutospacing="0" w:afterAutospacing="0" w:line="560" w:lineRule="exact"/>
        <w:ind w:firstLine="646"/>
        <w:jc w:val="both"/>
        <w:textAlignment w:val="auto"/>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政府采购预算安排情况说明</w:t>
      </w:r>
    </w:p>
    <w:p>
      <w:pPr>
        <w:pStyle w:val="4"/>
        <w:keepNext w:val="0"/>
        <w:keepLines w:val="0"/>
        <w:pageBreakBefore w:val="0"/>
        <w:widowControl/>
        <w:numPr>
          <w:ilvl w:val="0"/>
          <w:numId w:val="0"/>
        </w:numPr>
        <w:kinsoku/>
        <w:wordWrap/>
        <w:overflowPunct/>
        <w:topLinePunct w:val="0"/>
        <w:autoSpaceDE/>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2026年政府采购预算50.32万元，同比增长24.30万元，增长93.39％。</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kern w:val="2"/>
          <w:sz w:val="32"/>
          <w:szCs w:val="32"/>
          <w:highlight w:val="none"/>
          <w:lang w:val="en-US" w:eastAsia="zh-CN" w:bidi="ar-SA"/>
        </w:rPr>
        <w:t>政府集中采购预算50.32万元，占政府采购预算100％，同比增长24.92万元，增长98.11％；分散采购预算0万元，占政府采购预算0％，同比减少0.62万元，减少100％。</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主要原因:今年没有分散采购的项目。</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货物采购26.20万元，占政府采购预算52.07％，同比增加24.90万元，增加1915.38％。变化原因：货物类采购的物品增加。</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工程采购0万元，占政府采购预算0％，同比增加0万元，增长0％。较上年无变化。</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81" w:firstLineChars="213"/>
        <w:jc w:val="both"/>
        <w:textAlignment w:val="auto"/>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宋体" w:eastAsia="仿宋_GB2312" w:cs="Times New Roman"/>
          <w:kern w:val="2"/>
          <w:sz w:val="32"/>
          <w:szCs w:val="32"/>
          <w:highlight w:val="none"/>
          <w:lang w:val="en-US" w:eastAsia="zh-CN" w:bidi="ar-SA"/>
        </w:rPr>
        <w:t>服务采购24.12万元，占政府采购预算47.93％，同比减少0.60万元，减少2.43％。</w:t>
      </w:r>
      <w:r>
        <w:rPr>
          <w:rFonts w:hint="eastAsia" w:ascii="仿宋_GB2312" w:hAnsi="宋体" w:eastAsia="仿宋_GB2312" w:cs="Times New Roman"/>
          <w:color w:val="000000" w:themeColor="text1"/>
          <w:kern w:val="2"/>
          <w:sz w:val="32"/>
          <w:szCs w:val="32"/>
          <w:highlight w:val="none"/>
          <w:lang w:val="en-US" w:eastAsia="zh-CN" w:bidi="ar-SA"/>
          <w14:textFill>
            <w14:solidFill>
              <w14:schemeClr w14:val="tx1"/>
            </w14:solidFill>
          </w14:textFill>
        </w:rPr>
        <w:t>减少原因：车辆维修和保养服务费减少。</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both"/>
        <w:textAlignment w:val="auto"/>
        <w:rPr>
          <w:rFonts w:hint="eastAsia" w:ascii="黑体" w:hAnsi="黑体" w:eastAsia="黑体" w:cs="黑体"/>
          <w:sz w:val="31"/>
          <w:szCs w:val="31"/>
          <w:shd w:val="clear" w:color="auto" w:fill="FFFFFF"/>
        </w:rPr>
      </w:pPr>
      <w:r>
        <w:rPr>
          <w:rFonts w:hint="eastAsia" w:ascii="仿宋_GB2312" w:hAnsi="宋体" w:eastAsia="仿宋_GB2312" w:cs="Times New Roman"/>
          <w:kern w:val="2"/>
          <w:sz w:val="32"/>
          <w:szCs w:val="32"/>
          <w:highlight w:val="none"/>
          <w:lang w:val="en-US" w:eastAsia="zh-CN" w:bidi="ar-SA"/>
        </w:rPr>
        <w:t>政府采购预算中，授予中小企业的合同金额26.00万元，占政府采购支出总额51.67%。其他因确需使用不可替代的专利、专业技术，基础设施限制或提供特定公共服务，无法授予中小企业份额。</w:t>
      </w:r>
    </w:p>
    <w:p>
      <w:pPr>
        <w:pStyle w:val="4"/>
        <w:keepNext w:val="0"/>
        <w:keepLines w:val="0"/>
        <w:pageBreakBefore w:val="0"/>
        <w:widowControl/>
        <w:kinsoku/>
        <w:wordWrap/>
        <w:overflowPunct/>
        <w:topLinePunct w:val="0"/>
        <w:autoSpaceDE/>
        <w:bidi w:val="0"/>
        <w:spacing w:beforeAutospacing="0" w:afterAutospacing="0" w:line="560" w:lineRule="exact"/>
        <w:ind w:firstLine="646"/>
        <w:jc w:val="both"/>
        <w:textAlignment w:val="auto"/>
        <w:rPr>
          <w:rFonts w:ascii="黑体" w:hAnsi="黑体" w:eastAsia="黑体" w:cs="黑体"/>
          <w:sz w:val="31"/>
          <w:szCs w:val="31"/>
          <w:shd w:val="clear" w:color="auto" w:fill="FFFFFF"/>
        </w:rPr>
      </w:pPr>
      <w:r>
        <w:rPr>
          <w:rFonts w:hint="eastAsia" w:ascii="黑体" w:hAnsi="黑体" w:eastAsia="黑体" w:cs="黑体"/>
          <w:sz w:val="31"/>
          <w:szCs w:val="31"/>
          <w:shd w:val="clear" w:color="auto" w:fill="FFFFFF"/>
        </w:rPr>
        <w:t>九、国有资产占用情况说明</w:t>
      </w:r>
    </w:p>
    <w:p>
      <w:pPr>
        <w:pStyle w:val="4"/>
        <w:keepNext w:val="0"/>
        <w:keepLines w:val="0"/>
        <w:pageBreakBefore w:val="0"/>
        <w:widowControl/>
        <w:kinsoku/>
        <w:wordWrap/>
        <w:overflowPunct/>
        <w:topLinePunct w:val="0"/>
        <w:autoSpaceDE/>
        <w:autoSpaceDN/>
        <w:bidi w:val="0"/>
        <w:spacing w:beforeAutospacing="0" w:afterAutospacing="0" w:line="560" w:lineRule="exact"/>
        <w:ind w:firstLine="361" w:firstLineChars="113"/>
        <w:jc w:val="both"/>
        <w:textAlignment w:val="auto"/>
        <w:rPr>
          <w:rFonts w:ascii="仿宋_GB2312" w:hAnsi="微软雅黑" w:eastAsia="仿宋_GB2312" w:cs="仿宋_GB2312"/>
          <w:sz w:val="31"/>
          <w:szCs w:val="31"/>
          <w:shd w:val="clear" w:color="auto" w:fill="FFFFFF"/>
        </w:rPr>
      </w:pPr>
      <w:r>
        <w:rPr>
          <w:rFonts w:hint="eastAsia" w:ascii="仿宋_GB2312" w:hAnsi="宋体" w:eastAsia="仿宋_GB2312" w:cs="Times New Roman"/>
          <w:kern w:val="2"/>
          <w:sz w:val="32"/>
          <w:szCs w:val="32"/>
          <w:highlight w:val="none"/>
          <w:lang w:val="en-US" w:eastAsia="zh-CN" w:bidi="ar-SA"/>
        </w:rPr>
        <w:t>车辆情况：一般执法执勤用车编制数3辆，实有车辆3辆。</w:t>
      </w:r>
    </w:p>
    <w:p>
      <w:pPr>
        <w:pStyle w:val="4"/>
        <w:keepNext w:val="0"/>
        <w:keepLines w:val="0"/>
        <w:pageBreakBefore w:val="0"/>
        <w:widowControl/>
        <w:numPr>
          <w:ilvl w:val="0"/>
          <w:numId w:val="3"/>
        </w:numPr>
        <w:kinsoku/>
        <w:wordWrap/>
        <w:overflowPunct/>
        <w:topLinePunct w:val="0"/>
        <w:autoSpaceDE/>
        <w:bidi w:val="0"/>
        <w:spacing w:beforeAutospacing="0" w:afterAutospacing="0" w:line="560" w:lineRule="exact"/>
        <w:ind w:firstLine="646"/>
        <w:jc w:val="both"/>
        <w:textAlignment w:val="auto"/>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预算绩效目标情况说明</w:t>
      </w:r>
    </w:p>
    <w:p>
      <w:pPr>
        <w:keepNext w:val="0"/>
        <w:keepLines w:val="0"/>
        <w:pageBreakBefore w:val="0"/>
        <w:widowControl w:val="0"/>
        <w:tabs>
          <w:tab w:val="center" w:pos="4475"/>
        </w:tabs>
        <w:suppressAutoHyphens w:val="0"/>
        <w:kinsoku/>
        <w:wordWrap/>
        <w:overflowPunct/>
        <w:topLinePunct w:val="0"/>
        <w:autoSpaceDE/>
        <w:autoSpaceDN w:val="0"/>
        <w:bidi w:val="0"/>
        <w:adjustRightInd/>
        <w:snapToGrid/>
        <w:spacing w:line="560" w:lineRule="exact"/>
        <w:ind w:firstLine="645"/>
        <w:jc w:val="both"/>
        <w:textAlignment w:val="auto"/>
        <w:outlineLvl w:val="9"/>
        <w:rPr>
          <w:rFonts w:hint="eastAsia" w:ascii="仿宋_GB2312" w:hAnsi="微软雅黑" w:eastAsia="仿宋_GB2312" w:cs="仿宋_GB2312"/>
          <w:kern w:val="0"/>
          <w:sz w:val="31"/>
          <w:szCs w:val="31"/>
          <w:shd w:val="clear" w:color="auto" w:fill="FFFFFF"/>
          <w:lang w:val="en-US" w:eastAsia="zh-CN" w:bidi="ar-SA"/>
        </w:rPr>
      </w:pPr>
      <w:r>
        <w:rPr>
          <w:rFonts w:hint="eastAsia" w:ascii="仿宋_GB2312" w:hAnsi="微软雅黑" w:eastAsia="仿宋_GB2312" w:cs="仿宋_GB2312"/>
          <w:kern w:val="0"/>
          <w:sz w:val="31"/>
          <w:szCs w:val="31"/>
          <w:shd w:val="clear" w:color="auto" w:fill="FFFFFF"/>
          <w:lang w:val="en-US" w:eastAsia="zh-CN" w:bidi="ar-SA"/>
        </w:rPr>
        <w:t>（一）我单位2026年所有项目支出全面实施绩效目标管理，涉及自治区本级项目4个，预算资金92.79万元。绩效目标情况详见报表（敏感涉密项目除外）。</w:t>
      </w:r>
    </w:p>
    <w:p>
      <w:pPr>
        <w:keepNext w:val="0"/>
        <w:keepLines w:val="0"/>
        <w:pageBreakBefore w:val="0"/>
        <w:widowControl w:val="0"/>
        <w:tabs>
          <w:tab w:val="center" w:pos="4475"/>
        </w:tabs>
        <w:kinsoku/>
        <w:wordWrap/>
        <w:overflowPunct/>
        <w:topLinePunct w:val="0"/>
        <w:autoSpaceDE/>
        <w:bidi w:val="0"/>
        <w:adjustRightInd/>
        <w:snapToGrid/>
        <w:spacing w:line="560" w:lineRule="exact"/>
        <w:ind w:firstLine="620" w:firstLineChars="200"/>
        <w:jc w:val="both"/>
        <w:textAlignment w:val="auto"/>
        <w:outlineLvl w:val="9"/>
        <w:rPr>
          <w:rFonts w:hint="default" w:ascii="仿宋_GB2312" w:hAnsi="微软雅黑" w:eastAsia="仿宋_GB2312" w:cs="仿宋_GB2312"/>
          <w:kern w:val="0"/>
          <w:sz w:val="31"/>
          <w:szCs w:val="31"/>
          <w:shd w:val="clear" w:color="auto" w:fill="FFFFFF"/>
          <w:lang w:val="en-US" w:eastAsia="zh-CN" w:bidi="ar-SA"/>
        </w:rPr>
      </w:pPr>
      <w:r>
        <w:rPr>
          <w:rFonts w:hint="eastAsia" w:ascii="仿宋_GB2312" w:hAnsi="微软雅黑" w:eastAsia="仿宋_GB2312" w:cs="仿宋_GB2312"/>
          <w:kern w:val="0"/>
          <w:sz w:val="31"/>
          <w:szCs w:val="31"/>
          <w:shd w:val="clear" w:color="auto" w:fill="FFFFFF"/>
          <w:lang w:val="en-US" w:eastAsia="zh-CN" w:bidi="ar-SA"/>
        </w:rPr>
        <w:t>（二）重点项目预算绩效目标说明</w:t>
      </w:r>
    </w:p>
    <w:tbl>
      <w:tblPr>
        <w:tblStyle w:val="8"/>
        <w:tblpPr w:leftFromText="180" w:rightFromText="180" w:vertAnchor="text" w:horzAnchor="page" w:tblpX="1845" w:tblpY="618"/>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2086"/>
        <w:gridCol w:w="3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3205" w:type="dxa"/>
            <w:vAlign w:val="top"/>
          </w:tcPr>
          <w:p>
            <w:pPr>
              <w:keepNext w:val="0"/>
              <w:keepLines w:val="0"/>
              <w:pageBreakBefore w:val="0"/>
              <w:widowControl w:val="0"/>
              <w:tabs>
                <w:tab w:val="center" w:pos="4475"/>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Cs w:val="32"/>
                <w:vertAlign w:val="baseline"/>
                <w:lang w:eastAsia="zh-CN"/>
              </w:rPr>
            </w:pPr>
            <w:r>
              <w:rPr>
                <w:rFonts w:hint="eastAsia" w:ascii="仿宋_GB2312" w:hAnsi="仿宋_GB2312" w:eastAsia="仿宋_GB2312" w:cs="仿宋_GB2312"/>
                <w:b/>
                <w:bCs/>
                <w:szCs w:val="32"/>
                <w:vertAlign w:val="baseline"/>
                <w:lang w:eastAsia="zh-CN"/>
              </w:rPr>
              <w:t>项目名称</w:t>
            </w:r>
          </w:p>
        </w:tc>
        <w:tc>
          <w:tcPr>
            <w:tcW w:w="2086" w:type="dxa"/>
            <w:vAlign w:val="top"/>
          </w:tcPr>
          <w:p>
            <w:pPr>
              <w:keepNext w:val="0"/>
              <w:keepLines w:val="0"/>
              <w:pageBreakBefore w:val="0"/>
              <w:widowControl w:val="0"/>
              <w:tabs>
                <w:tab w:val="center" w:pos="4475"/>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Cs w:val="32"/>
                <w:vertAlign w:val="baseline"/>
                <w:lang w:eastAsia="zh-CN"/>
              </w:rPr>
            </w:pPr>
            <w:r>
              <w:rPr>
                <w:rFonts w:hint="eastAsia" w:ascii="仿宋_GB2312" w:hAnsi="仿宋_GB2312" w:eastAsia="仿宋_GB2312" w:cs="仿宋_GB2312"/>
                <w:b/>
                <w:bCs/>
                <w:szCs w:val="32"/>
                <w:vertAlign w:val="baseline"/>
                <w:lang w:eastAsia="zh-CN"/>
              </w:rPr>
              <w:t>预算数（单位：万元）</w:t>
            </w:r>
          </w:p>
        </w:tc>
        <w:tc>
          <w:tcPr>
            <w:tcW w:w="3231" w:type="dxa"/>
            <w:vAlign w:val="top"/>
          </w:tcPr>
          <w:p>
            <w:pPr>
              <w:keepNext w:val="0"/>
              <w:keepLines w:val="0"/>
              <w:pageBreakBefore w:val="0"/>
              <w:widowControl w:val="0"/>
              <w:tabs>
                <w:tab w:val="center" w:pos="4475"/>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Cs w:val="32"/>
                <w:vertAlign w:val="baseline"/>
                <w:lang w:eastAsia="zh-CN"/>
              </w:rPr>
            </w:pPr>
            <w:r>
              <w:rPr>
                <w:rFonts w:hint="eastAsia" w:ascii="仿宋_GB2312" w:hAnsi="仿宋_GB2312" w:eastAsia="仿宋_GB2312" w:cs="仿宋_GB2312"/>
                <w:b/>
                <w:bCs/>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3205" w:type="dxa"/>
            <w:vAlign w:val="top"/>
          </w:tcPr>
          <w:p>
            <w:pPr>
              <w:keepNext w:val="0"/>
              <w:keepLines w:val="0"/>
              <w:pageBreakBefore w:val="0"/>
              <w:widowControl w:val="0"/>
              <w:tabs>
                <w:tab w:val="center" w:pos="4475"/>
              </w:tabs>
              <w:kinsoku/>
              <w:wordWrap/>
              <w:overflowPunct/>
              <w:topLinePunct w:val="0"/>
              <w:autoSpaceDE/>
              <w:autoSpaceDN/>
              <w:bidi w:val="0"/>
              <w:adjustRightInd/>
              <w:snapToGrid/>
              <w:spacing w:line="240" w:lineRule="auto"/>
              <w:textAlignment w:val="auto"/>
              <w:rPr>
                <w:rFonts w:hint="default" w:ascii="仿宋_GB2312" w:hAnsi="仿宋_GB2312" w:eastAsia="仿宋_GB2312" w:cs="仿宋_GB2312"/>
                <w:szCs w:val="32"/>
                <w:vertAlign w:val="baseline"/>
                <w:lang w:eastAsia="zh-CN"/>
              </w:rPr>
            </w:pPr>
            <w:r>
              <w:rPr>
                <w:rFonts w:hint="eastAsia" w:ascii="仿宋_GB2312" w:hAnsi="微软雅黑" w:eastAsia="仿宋_GB2312" w:cs="仿宋_GB2312"/>
                <w:color w:val="000000" w:themeColor="text1"/>
                <w:sz w:val="31"/>
                <w:szCs w:val="31"/>
                <w:shd w:val="clear" w:color="auto" w:fill="FFFFFF"/>
                <w14:textFill>
                  <w14:solidFill>
                    <w14:schemeClr w14:val="tx1"/>
                  </w14:solidFill>
                </w14:textFill>
              </w:rPr>
              <w:t>警犬</w:t>
            </w:r>
            <w:r>
              <w:rPr>
                <w:rFonts w:hint="eastAsia" w:ascii="仿宋_GB2312" w:hAnsi="微软雅黑" w:eastAsia="仿宋_GB2312" w:cs="仿宋_GB2312"/>
                <w:color w:val="000000" w:themeColor="text1"/>
                <w:sz w:val="31"/>
                <w:szCs w:val="31"/>
                <w:shd w:val="clear" w:color="auto" w:fill="FFFFFF"/>
                <w:lang w:val="en-US" w:eastAsia="zh-CN"/>
                <w14:textFill>
                  <w14:solidFill>
                    <w14:schemeClr w14:val="tx1"/>
                  </w14:solidFill>
                </w14:textFill>
              </w:rPr>
              <w:t>繁育与</w:t>
            </w:r>
            <w:r>
              <w:rPr>
                <w:rFonts w:hint="eastAsia" w:ascii="仿宋_GB2312" w:hAnsi="微软雅黑" w:eastAsia="仿宋_GB2312" w:cs="仿宋_GB2312"/>
                <w:color w:val="000000" w:themeColor="text1"/>
                <w:sz w:val="31"/>
                <w:szCs w:val="31"/>
                <w:shd w:val="clear" w:color="auto" w:fill="FFFFFF"/>
                <w14:textFill>
                  <w14:solidFill>
                    <w14:schemeClr w14:val="tx1"/>
                  </w14:solidFill>
                </w14:textFill>
              </w:rPr>
              <w:t>驯养经费</w:t>
            </w:r>
          </w:p>
        </w:tc>
        <w:tc>
          <w:tcPr>
            <w:tcW w:w="2086" w:type="dxa"/>
            <w:vAlign w:val="top"/>
          </w:tcPr>
          <w:p>
            <w:pPr>
              <w:keepNext w:val="0"/>
              <w:keepLines w:val="0"/>
              <w:pageBreakBefore w:val="0"/>
              <w:widowControl w:val="0"/>
              <w:tabs>
                <w:tab w:val="center" w:pos="4475"/>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Cs w:val="32"/>
                <w:vertAlign w:val="baseline"/>
              </w:rPr>
            </w:pPr>
            <w:r>
              <w:rPr>
                <w:rFonts w:hint="eastAsia" w:ascii="仿宋_GB2312" w:hAnsi="微软雅黑" w:eastAsia="仿宋_GB2312" w:cs="仿宋_GB2312"/>
                <w:color w:val="000000" w:themeColor="text1"/>
                <w:sz w:val="31"/>
                <w:szCs w:val="31"/>
                <w:shd w:val="clear" w:color="auto" w:fill="FFFFFF"/>
                <w:lang w:val="en-US" w:eastAsia="zh-CN"/>
                <w14:textFill>
                  <w14:solidFill>
                    <w14:schemeClr w14:val="tx1"/>
                  </w14:solidFill>
                </w14:textFill>
              </w:rPr>
              <w:t>19.68</w:t>
            </w:r>
            <w:r>
              <w:rPr>
                <w:rFonts w:hint="eastAsia" w:ascii="仿宋_GB2312" w:hAnsi="微软雅黑" w:eastAsia="仿宋_GB2312" w:cs="仿宋_GB2312"/>
                <w:color w:val="000000" w:themeColor="text1"/>
                <w:sz w:val="31"/>
                <w:szCs w:val="31"/>
                <w:shd w:val="clear" w:color="auto" w:fill="FFFFFF"/>
                <w14:textFill>
                  <w14:solidFill>
                    <w14:schemeClr w14:val="tx1"/>
                  </w14:solidFill>
                </w14:textFill>
              </w:rPr>
              <w:t>万元</w:t>
            </w:r>
          </w:p>
        </w:tc>
        <w:tc>
          <w:tcPr>
            <w:tcW w:w="3231" w:type="dxa"/>
            <w:vAlign w:val="top"/>
          </w:tcPr>
          <w:p>
            <w:pPr>
              <w:keepNext w:val="0"/>
              <w:keepLines w:val="0"/>
              <w:pageBreakBefore w:val="0"/>
              <w:widowControl w:val="0"/>
              <w:tabs>
                <w:tab w:val="center" w:pos="4475"/>
              </w:tabs>
              <w:kinsoku/>
              <w:wordWrap/>
              <w:overflowPunct/>
              <w:topLinePunct w:val="0"/>
              <w:autoSpaceDE/>
              <w:autoSpaceDN/>
              <w:bidi w:val="0"/>
              <w:adjustRightInd/>
              <w:snapToGrid/>
              <w:spacing w:line="240" w:lineRule="auto"/>
              <w:ind w:firstLine="320" w:firstLineChars="200"/>
              <w:jc w:val="both"/>
              <w:textAlignment w:val="auto"/>
              <w:outlineLvl w:val="9"/>
              <w:rPr>
                <w:rFonts w:hint="eastAsia" w:ascii="仿宋_GB2312" w:hAnsi="微软雅黑" w:eastAsia="仿宋_GB2312" w:cs="仿宋_GB2312"/>
                <w:color w:val="000000" w:themeColor="text1"/>
                <w:sz w:val="21"/>
                <w:szCs w:val="21"/>
                <w:shd w:val="clear" w:color="auto" w:fill="FFFFFF"/>
                <w:lang w:eastAsia="zh-CN"/>
                <w14:textFill>
                  <w14:solidFill>
                    <w14:schemeClr w14:val="tx1"/>
                  </w14:solidFill>
                </w14:textFill>
              </w:rPr>
            </w:pPr>
            <w:r>
              <w:rPr>
                <w:rFonts w:hint="eastAsia" w:ascii="仿宋_GB2312" w:hAnsi="微软雅黑" w:eastAsia="仿宋_GB2312" w:cs="仿宋_GB2312"/>
                <w:color w:val="000000" w:themeColor="text1"/>
                <w:sz w:val="16"/>
                <w:szCs w:val="16"/>
                <w:shd w:val="clear" w:color="auto" w:fill="FFFFFF"/>
                <w:lang w:val="en-US" w:eastAsia="zh-CN"/>
                <w14:textFill>
                  <w14:solidFill>
                    <w14:schemeClr w14:val="tx1"/>
                  </w14:solidFill>
                </w14:textFill>
              </w:rPr>
              <w:t>绩效目标：</w:t>
            </w:r>
            <w:r>
              <w:rPr>
                <w:rFonts w:hint="eastAsia" w:ascii="仿宋_GB2312" w:hAnsi="微软雅黑" w:eastAsia="仿宋_GB2312" w:cs="仿宋_GB2312"/>
                <w:color w:val="000000" w:themeColor="text1"/>
                <w:sz w:val="16"/>
                <w:szCs w:val="16"/>
                <w:shd w:val="clear" w:color="auto" w:fill="FFFFFF"/>
                <w14:textFill>
                  <w14:solidFill>
                    <w14:schemeClr w14:val="tx1"/>
                  </w14:solidFill>
                </w14:textFill>
              </w:rPr>
              <w:t>保障警犬正常训练、使用警犬开展业务</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w:t>
            </w:r>
            <w:r>
              <w:rPr>
                <w:rFonts w:hint="eastAsia" w:ascii="仿宋_GB2312" w:hAnsi="微软雅黑" w:eastAsia="仿宋_GB2312" w:cs="仿宋_GB2312"/>
                <w:color w:val="000000" w:themeColor="text1"/>
                <w:sz w:val="16"/>
                <w:szCs w:val="16"/>
                <w:shd w:val="clear" w:color="auto" w:fill="FFFFFF"/>
                <w14:textFill>
                  <w14:solidFill>
                    <w14:schemeClr w14:val="tx1"/>
                  </w14:solidFill>
                </w14:textFill>
              </w:rPr>
              <w:t>做好治安防范</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等</w:t>
            </w:r>
            <w:r>
              <w:rPr>
                <w:rFonts w:hint="eastAsia" w:ascii="仿宋_GB2312" w:hAnsi="微软雅黑" w:eastAsia="仿宋_GB2312" w:cs="仿宋_GB2312"/>
                <w:color w:val="000000" w:themeColor="text1"/>
                <w:sz w:val="16"/>
                <w:szCs w:val="16"/>
                <w:shd w:val="clear" w:color="auto" w:fill="FFFFFF"/>
                <w14:textFill>
                  <w14:solidFill>
                    <w14:schemeClr w14:val="tx1"/>
                  </w14:solidFill>
                </w14:textFill>
              </w:rPr>
              <w:t>工作，维护林区社会和谐稳定</w:t>
            </w:r>
            <w:r>
              <w:rPr>
                <w:rFonts w:hint="eastAsia" w:ascii="仿宋_GB2312" w:hAnsi="微软雅黑" w:eastAsia="仿宋_GB2312" w:cs="仿宋_GB2312"/>
                <w:color w:val="000000" w:themeColor="text1"/>
                <w:sz w:val="16"/>
                <w:szCs w:val="16"/>
                <w:shd w:val="clear" w:color="auto" w:fill="FFFFFF"/>
                <w:lang w:val="en-US" w:eastAsia="zh-CN"/>
                <w14:textFill>
                  <w14:solidFill>
                    <w14:schemeClr w14:val="tx1"/>
                  </w14:solidFill>
                </w14:textFill>
              </w:rPr>
              <w:t>；</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提高</w:t>
            </w:r>
            <w:r>
              <w:rPr>
                <w:rFonts w:hint="eastAsia" w:ascii="仿宋_GB2312" w:hAnsi="微软雅黑" w:eastAsia="仿宋_GB2312" w:cs="仿宋_GB2312"/>
                <w:color w:val="000000" w:themeColor="text1"/>
                <w:sz w:val="16"/>
                <w:szCs w:val="16"/>
                <w:shd w:val="clear" w:color="auto" w:fill="FFFFFF"/>
                <w14:textFill>
                  <w14:solidFill>
                    <w14:schemeClr w14:val="tx1"/>
                  </w14:solidFill>
                </w14:textFill>
              </w:rPr>
              <w:t>社会效益</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，充分</w:t>
            </w:r>
            <w:r>
              <w:rPr>
                <w:rFonts w:ascii="仿宋_GB2312" w:hAnsi="微软雅黑" w:eastAsia="仿宋_GB2312" w:cs="仿宋_GB2312"/>
                <w:color w:val="000000" w:themeColor="text1"/>
                <w:sz w:val="16"/>
                <w:szCs w:val="16"/>
                <w:shd w:val="clear" w:color="auto" w:fill="FFFFFF"/>
                <w14:textFill>
                  <w14:solidFill>
                    <w14:schemeClr w14:val="tx1"/>
                  </w14:solidFill>
                </w14:textFill>
              </w:rPr>
              <w:t>发挥警犬在预防打击犯罪中的积极作用</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，增强人民群众</w:t>
            </w:r>
            <w:r>
              <w:rPr>
                <w:rFonts w:hint="eastAsia" w:ascii="仿宋_GB2312" w:hAnsi="微软雅黑" w:eastAsia="仿宋_GB2312" w:cs="仿宋_GB2312"/>
                <w:color w:val="000000" w:themeColor="text1"/>
                <w:sz w:val="16"/>
                <w:szCs w:val="16"/>
                <w:shd w:val="clear" w:color="auto" w:fill="FFFFFF"/>
                <w14:textFill>
                  <w14:solidFill>
                    <w14:schemeClr w14:val="tx1"/>
                  </w14:solidFill>
                </w14:textFill>
              </w:rPr>
              <w:t>满意度</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，更好的服务人民</w:t>
            </w:r>
            <w:r>
              <w:rPr>
                <w:rFonts w:hint="eastAsia" w:ascii="仿宋_GB2312" w:hAnsi="微软雅黑" w:eastAsia="仿宋_GB2312" w:cs="仿宋_GB2312"/>
                <w:color w:val="000000" w:themeColor="text1"/>
                <w:sz w:val="16"/>
                <w:szCs w:val="16"/>
                <w:shd w:val="clear" w:color="auto" w:fill="FFFFFF"/>
                <w14:textFill>
                  <w14:solidFill>
                    <w14:schemeClr w14:val="tx1"/>
                  </w14:solidFill>
                </w14:textFill>
              </w:rPr>
              <w:t>。</w:t>
            </w:r>
            <w:r>
              <w:rPr>
                <w:rFonts w:hint="eastAsia" w:ascii="仿宋_GB2312" w:hAnsi="微软雅黑" w:eastAsia="仿宋_GB2312" w:cs="仿宋_GB2312"/>
                <w:color w:val="000000" w:themeColor="text1"/>
                <w:sz w:val="16"/>
                <w:szCs w:val="16"/>
                <w:shd w:val="clear" w:color="auto" w:fill="FFFFFF"/>
                <w:lang w:eastAsia="zh-CN"/>
                <w14:textFill>
                  <w14:solidFill>
                    <w14:schemeClr w14:val="tx1"/>
                  </w14:solidFill>
                </w14:textFill>
              </w:rPr>
              <w:t>为确保</w:t>
            </w:r>
            <w:r>
              <w:rPr>
                <w:rFonts w:hint="eastAsia" w:ascii="仿宋_GB2312" w:hAnsi="微软雅黑" w:eastAsia="仿宋_GB2312" w:cs="仿宋_GB2312"/>
                <w:kern w:val="0"/>
                <w:sz w:val="16"/>
                <w:szCs w:val="16"/>
                <w:shd w:val="clear" w:color="auto" w:fill="FFFFFF"/>
                <w:lang w:val="en-US" w:eastAsia="zh-CN" w:bidi="ar-SA"/>
              </w:rPr>
              <w:t>预算绩效目标的实现，我所积极推动相关工作的开展，针对可能出现的问题，及时采取相应的应对措施，</w:t>
            </w:r>
            <w:r>
              <w:rPr>
                <w:rFonts w:hint="eastAsia" w:ascii="仿宋_GB2312" w:hAnsi="微软雅黑" w:eastAsia="仿宋_GB2312" w:cs="仿宋_GB2312"/>
                <w:kern w:val="0"/>
                <w:sz w:val="18"/>
                <w:szCs w:val="18"/>
                <w:shd w:val="clear" w:color="auto" w:fill="FFFFFF"/>
                <w:lang w:val="en-US" w:eastAsia="zh-CN" w:bidi="ar-SA"/>
              </w:rPr>
              <w:t>加强项目管理，确保绩效</w:t>
            </w:r>
            <w:r>
              <w:rPr>
                <w:rFonts w:hint="eastAsia" w:ascii="仿宋_GB2312" w:hAnsi="微软雅黑" w:eastAsia="仿宋_GB2312" w:cs="仿宋_GB2312"/>
                <w:kern w:val="0"/>
                <w:sz w:val="20"/>
                <w:szCs w:val="20"/>
                <w:shd w:val="clear" w:color="auto" w:fill="FFFFFF"/>
                <w:lang w:val="en-US" w:eastAsia="zh-CN" w:bidi="ar-SA"/>
              </w:rPr>
              <w:t>目标的顺利实现。</w:t>
            </w:r>
          </w:p>
          <w:p>
            <w:pPr>
              <w:keepNext w:val="0"/>
              <w:keepLines w:val="0"/>
              <w:pageBreakBefore w:val="0"/>
              <w:widowControl w:val="0"/>
              <w:tabs>
                <w:tab w:val="center" w:pos="4475"/>
              </w:tabs>
              <w:kinsoku/>
              <w:wordWrap/>
              <w:overflowPunct/>
              <w:topLinePunct w:val="0"/>
              <w:autoSpaceDE/>
              <w:autoSpaceDN/>
              <w:bidi w:val="0"/>
              <w:adjustRightInd/>
              <w:snapToGrid/>
              <w:spacing w:line="240" w:lineRule="auto"/>
              <w:textAlignment w:val="auto"/>
              <w:rPr>
                <w:rFonts w:hint="default" w:ascii="仿宋_GB2312" w:hAnsi="仿宋_GB2312" w:eastAsia="仿宋_GB2312" w:cs="仿宋_GB2312"/>
                <w:szCs w:val="32"/>
                <w:vertAlign w:val="baseline"/>
              </w:rPr>
            </w:pPr>
          </w:p>
        </w:tc>
      </w:tr>
    </w:tbl>
    <w:p>
      <w:pPr>
        <w:keepNext w:val="0"/>
        <w:keepLines w:val="0"/>
        <w:pageBreakBefore w:val="0"/>
        <w:widowControl w:val="0"/>
        <w:tabs>
          <w:tab w:val="center" w:pos="4475"/>
        </w:tabs>
        <w:kinsoku/>
        <w:wordWrap/>
        <w:overflowPunct/>
        <w:topLinePunct w:val="0"/>
        <w:autoSpaceDE/>
        <w:autoSpaceDN/>
        <w:bidi w:val="0"/>
        <w:adjustRightInd/>
        <w:snapToGrid/>
        <w:spacing w:line="560" w:lineRule="exact"/>
        <w:ind w:firstLine="620" w:firstLineChars="200"/>
        <w:jc w:val="both"/>
        <w:textAlignment w:val="auto"/>
        <w:outlineLvl w:val="9"/>
        <w:rPr>
          <w:rFonts w:hint="eastAsia" w:ascii="仿宋_GB2312" w:hAnsi="微软雅黑" w:eastAsia="仿宋_GB2312" w:cs="仿宋_GB2312"/>
          <w:color w:val="000000" w:themeColor="text1"/>
          <w:sz w:val="31"/>
          <w:szCs w:val="31"/>
          <w:shd w:val="clear" w:color="auto" w:fill="FFFFFF"/>
          <w14:textFill>
            <w14:solidFill>
              <w14:schemeClr w14:val="tx1"/>
            </w14:solidFill>
          </w14:textFill>
        </w:rPr>
      </w:pPr>
      <w:bookmarkStart w:id="2" w:name="_GoBack"/>
      <w:bookmarkEnd w:id="2"/>
    </w:p>
    <w:p>
      <w:pPr>
        <w:keepNext w:val="0"/>
        <w:keepLines w:val="0"/>
        <w:pageBreakBefore w:val="0"/>
        <w:tabs>
          <w:tab w:val="center" w:pos="4475"/>
        </w:tabs>
        <w:kinsoku/>
        <w:wordWrap/>
        <w:overflowPunct/>
        <w:topLinePunct w:val="0"/>
        <w:autoSpaceDE/>
        <w:bidi w:val="0"/>
        <w:spacing w:line="560" w:lineRule="exact"/>
        <w:ind w:firstLine="645"/>
        <w:jc w:val="both"/>
        <w:textAlignment w:val="auto"/>
      </w:pPr>
      <w:r>
        <w:rPr>
          <w:rFonts w:hint="eastAsia" w:ascii="黑体" w:hAnsi="宋体" w:eastAsia="黑体" w:cs="黑体"/>
          <w:sz w:val="31"/>
          <w:szCs w:val="31"/>
          <w:shd w:val="clear" w:color="auto" w:fill="FFFFFF"/>
        </w:rPr>
        <w:t>第三部分：名词解释</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仿宋_GB2312" w:hAnsi="微软雅黑" w:eastAsia="仿宋_GB2312" w:cs="仿宋_GB2312"/>
          <w:sz w:val="31"/>
          <w:szCs w:val="31"/>
          <w:shd w:val="clear" w:color="auto" w:fill="FFFFFF"/>
        </w:rPr>
        <w:t>一、基本支出：指为保障机构正常运转、完成日常工作任务而发生的人员支出和定额公用支出。</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仿宋_GB2312" w:hAnsi="微软雅黑" w:eastAsia="仿宋_GB2312" w:cs="仿宋_GB2312"/>
          <w:sz w:val="31"/>
          <w:szCs w:val="31"/>
          <w:shd w:val="clear" w:color="auto" w:fill="FFFFFF"/>
        </w:rPr>
        <w:t>二、项目支出：指在基本支出之外为完成特定行政任务和事业发展目标所发生的支出。</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rPr>
          <w:rFonts w:eastAsia="仿宋_GB2312"/>
        </w:rPr>
      </w:pPr>
      <w:r>
        <w:rPr>
          <w:rFonts w:hint="eastAsia" w:ascii="仿宋_GB2312" w:hAnsi="微软雅黑" w:eastAsia="仿宋_GB2312" w:cs="仿宋_GB2312"/>
          <w:sz w:val="31"/>
          <w:szCs w:val="31"/>
          <w:shd w:val="clear" w:color="auto" w:fill="FFFFFF"/>
        </w:rPr>
        <w:t>三、“三公两费”经费：纳入自治区财政预决算管理的“三公”经费，是指自治区本级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仿宋_GB2312" w:hAnsi="微软雅黑" w:eastAsia="仿宋_GB2312" w:cs="仿宋_GB2312"/>
          <w:sz w:val="31"/>
          <w:szCs w:val="31"/>
          <w:shd w:val="clear" w:color="auto" w:fill="FFFFFF"/>
        </w:rPr>
        <w:t>四、特别业务：公安机关开展特别业务工作的相关支出。</w:t>
      </w:r>
    </w:p>
    <w:p>
      <w:pPr>
        <w:pStyle w:val="4"/>
        <w:keepNext w:val="0"/>
        <w:keepLines w:val="0"/>
        <w:pageBreakBefore w:val="0"/>
        <w:widowControl/>
        <w:kinsoku/>
        <w:wordWrap/>
        <w:overflowPunct/>
        <w:topLinePunct w:val="0"/>
        <w:autoSpaceDE/>
        <w:bidi w:val="0"/>
        <w:spacing w:beforeAutospacing="0" w:afterAutospacing="0" w:line="560" w:lineRule="exact"/>
        <w:ind w:firstLine="645"/>
        <w:jc w:val="both"/>
        <w:textAlignment w:val="auto"/>
      </w:pPr>
      <w:r>
        <w:rPr>
          <w:rFonts w:hint="eastAsia" w:ascii="黑体" w:hAnsi="宋体" w:eastAsia="黑体" w:cs="黑体"/>
          <w:sz w:val="31"/>
          <w:szCs w:val="31"/>
          <w:shd w:val="clear" w:color="auto" w:fill="FFFFFF"/>
        </w:rPr>
        <w:t>第四部分：自治区公安厅直属森林公安一分局</w:t>
      </w:r>
      <w:r>
        <w:rPr>
          <w:rFonts w:hint="eastAsia" w:ascii="黑体" w:hAnsi="宋体" w:eastAsia="黑体" w:cs="黑体"/>
          <w:sz w:val="31"/>
          <w:szCs w:val="31"/>
          <w:shd w:val="clear" w:color="auto" w:fill="FFFFFF"/>
          <w:lang w:eastAsia="zh-CN"/>
        </w:rPr>
        <w:t>高峰</w:t>
      </w:r>
      <w:r>
        <w:rPr>
          <w:rFonts w:hint="eastAsia" w:ascii="黑体" w:hAnsi="宋体" w:eastAsia="黑体" w:cs="黑体"/>
          <w:sz w:val="31"/>
          <w:szCs w:val="31"/>
          <w:shd w:val="clear" w:color="auto" w:fill="FFFFFF"/>
        </w:rPr>
        <w:t>派出所202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年单位预算报表</w:t>
      </w:r>
    </w:p>
    <w:p>
      <w:pPr>
        <w:keepNext w:val="0"/>
        <w:keepLines w:val="0"/>
        <w:pageBreakBefore w:val="0"/>
        <w:kinsoku/>
        <w:wordWrap/>
        <w:overflowPunct/>
        <w:topLinePunct w:val="0"/>
        <w:autoSpaceDE/>
        <w:bidi w:val="0"/>
        <w:spacing w:line="560" w:lineRule="exact"/>
        <w:textAlignment w:val="auto"/>
      </w:pPr>
      <w:r>
        <w:rPr>
          <w:rFonts w:hint="eastAsia" w:ascii="仿宋_GB2312" w:hAnsi="微软雅黑" w:eastAsia="仿宋_GB2312" w:cs="仿宋_GB2312"/>
          <w:sz w:val="31"/>
          <w:szCs w:val="31"/>
          <w:shd w:val="clear" w:color="auto" w:fill="FFFFFF"/>
        </w:rPr>
        <w:t>详见附表</w:t>
      </w:r>
    </w:p>
    <w:sectPr>
      <w:footerReference r:id="rId4" w:type="default"/>
      <w:pgSz w:w="11906" w:h="16838"/>
      <w:pgMar w:top="1440" w:right="1800" w:bottom="1440" w:left="1800" w:header="1417" w:footer="1417" w:gutter="0"/>
      <w:pgNumType w:fmt="numberInDash"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40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- 6 -</w:t>
                          </w:r>
                          <w:r>
                            <w:fldChar w:fldCharType="end"/>
                          </w:r>
                        </w:p>
                      </w:txbxContent>
                    </wps:txbx>
                    <wps:bodyPr wrap="none" lIns="0" tIns="0" rIns="0" bIns="0" upright="1">
                      <a:spAutoFit/>
                    </wps:bodyPr>
                  </wps:wsp>
                </a:graphicData>
              </a:graphic>
            </wp:anchor>
          </w:drawing>
        </mc:Choice>
        <mc:Fallback>
          <w:pict>
            <v:shape id="4097"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&#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6pebnPAAAABQEAAA8AAAAAAAAAAQAgAAAAIgAAAGRy&#10;cy9kb3ducmV2LnhtbFBLAQIUABQAAAAIAIdO4kAIYsxlnAEAAEQDAAAOAAAAAAAAAAEAIAAAAB4B&#10;AABkcnMvZTJvRG9jLnhtbFBLBQYAAAAABgAGAFkBAAAs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- 6 -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A60CC"/>
    <w:multiLevelType w:val="singleLevel"/>
    <w:tmpl w:val="128A60CC"/>
    <w:lvl w:ilvl="0" w:tentative="0">
      <w:start w:val="8"/>
      <w:numFmt w:val="chineseCounting"/>
      <w:suff w:val="nothing"/>
      <w:lvlText w:val="%1、"/>
      <w:lvlJc w:val="left"/>
      <w:rPr>
        <w:rFonts w:hint="eastAsia"/>
      </w:rPr>
    </w:lvl>
  </w:abstractNum>
  <w:abstractNum w:abstractNumId="1">
    <w:nsid w:val="17626054"/>
    <w:multiLevelType w:val="singleLevel"/>
    <w:tmpl w:val="17626054"/>
    <w:lvl w:ilvl="0" w:tentative="0">
      <w:start w:val="10"/>
      <w:numFmt w:val="chineseCounting"/>
      <w:suff w:val="nothing"/>
      <w:lvlText w:val="%1、"/>
      <w:lvlJc w:val="left"/>
      <w:rPr>
        <w:rFonts w:hint="eastAsia"/>
      </w:rPr>
    </w:lvl>
  </w:abstractNum>
  <w:abstractNum w:abstractNumId="2">
    <w:nsid w:val="5916836C"/>
    <w:multiLevelType w:val="singleLevel"/>
    <w:tmpl w:val="5916836C"/>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13B28"/>
    <w:rsid w:val="018D15A4"/>
    <w:rsid w:val="0330093B"/>
    <w:rsid w:val="03407F4F"/>
    <w:rsid w:val="03814A5F"/>
    <w:rsid w:val="039D6C64"/>
    <w:rsid w:val="05586AF3"/>
    <w:rsid w:val="05634A15"/>
    <w:rsid w:val="0589395F"/>
    <w:rsid w:val="07411A74"/>
    <w:rsid w:val="08B92616"/>
    <w:rsid w:val="0B526F26"/>
    <w:rsid w:val="0BED009B"/>
    <w:rsid w:val="0C8D1962"/>
    <w:rsid w:val="0D03172D"/>
    <w:rsid w:val="0DC46A23"/>
    <w:rsid w:val="0DF71E65"/>
    <w:rsid w:val="0E2841BA"/>
    <w:rsid w:val="0ECE0B4A"/>
    <w:rsid w:val="0F11019B"/>
    <w:rsid w:val="0F790737"/>
    <w:rsid w:val="101175DD"/>
    <w:rsid w:val="10C9128F"/>
    <w:rsid w:val="12190A0E"/>
    <w:rsid w:val="122A2701"/>
    <w:rsid w:val="12780841"/>
    <w:rsid w:val="13192D69"/>
    <w:rsid w:val="13EF22E1"/>
    <w:rsid w:val="145A414B"/>
    <w:rsid w:val="15CA1C61"/>
    <w:rsid w:val="16DB2AB5"/>
    <w:rsid w:val="173B1B56"/>
    <w:rsid w:val="17425FF5"/>
    <w:rsid w:val="175C05C7"/>
    <w:rsid w:val="17632447"/>
    <w:rsid w:val="189E4AA9"/>
    <w:rsid w:val="19C13575"/>
    <w:rsid w:val="19F20599"/>
    <w:rsid w:val="19F2627F"/>
    <w:rsid w:val="1BBC0B7E"/>
    <w:rsid w:val="1BCD55CC"/>
    <w:rsid w:val="1EB7392D"/>
    <w:rsid w:val="1EEB15A8"/>
    <w:rsid w:val="213A1926"/>
    <w:rsid w:val="22BF01DE"/>
    <w:rsid w:val="22E931B8"/>
    <w:rsid w:val="23567B84"/>
    <w:rsid w:val="23C258F3"/>
    <w:rsid w:val="24225C26"/>
    <w:rsid w:val="24441C05"/>
    <w:rsid w:val="24A615F0"/>
    <w:rsid w:val="257A5AF0"/>
    <w:rsid w:val="25F82AE6"/>
    <w:rsid w:val="264C291C"/>
    <w:rsid w:val="277B37EE"/>
    <w:rsid w:val="291A0A08"/>
    <w:rsid w:val="298501B3"/>
    <w:rsid w:val="2E547D17"/>
    <w:rsid w:val="2EB34AB8"/>
    <w:rsid w:val="2EFE372C"/>
    <w:rsid w:val="2F8A35B0"/>
    <w:rsid w:val="31264667"/>
    <w:rsid w:val="317F16D5"/>
    <w:rsid w:val="320665D9"/>
    <w:rsid w:val="32B32AAB"/>
    <w:rsid w:val="33716C08"/>
    <w:rsid w:val="352F12E9"/>
    <w:rsid w:val="37D86EAA"/>
    <w:rsid w:val="395841B7"/>
    <w:rsid w:val="3A935BFB"/>
    <w:rsid w:val="3C0D1B2F"/>
    <w:rsid w:val="3D5D7BA5"/>
    <w:rsid w:val="3D860076"/>
    <w:rsid w:val="3DAB7614"/>
    <w:rsid w:val="3DD3535C"/>
    <w:rsid w:val="3E086F33"/>
    <w:rsid w:val="3EA767F9"/>
    <w:rsid w:val="407C29BE"/>
    <w:rsid w:val="40E13D37"/>
    <w:rsid w:val="433A3E22"/>
    <w:rsid w:val="440E7363"/>
    <w:rsid w:val="441840BD"/>
    <w:rsid w:val="45041FB3"/>
    <w:rsid w:val="4600670D"/>
    <w:rsid w:val="46082956"/>
    <w:rsid w:val="4620027B"/>
    <w:rsid w:val="46EE1F91"/>
    <w:rsid w:val="47292CAE"/>
    <w:rsid w:val="474663CA"/>
    <w:rsid w:val="47B1014B"/>
    <w:rsid w:val="48E1327B"/>
    <w:rsid w:val="49195F04"/>
    <w:rsid w:val="49C4222B"/>
    <w:rsid w:val="49F87B08"/>
    <w:rsid w:val="4A8E6344"/>
    <w:rsid w:val="4AD16A28"/>
    <w:rsid w:val="4B1B38EB"/>
    <w:rsid w:val="4CB905B0"/>
    <w:rsid w:val="4D6A4323"/>
    <w:rsid w:val="4D6E4F86"/>
    <w:rsid w:val="4DA62DAB"/>
    <w:rsid w:val="4E22248A"/>
    <w:rsid w:val="4E7E60C9"/>
    <w:rsid w:val="4EEF1595"/>
    <w:rsid w:val="4FE3222B"/>
    <w:rsid w:val="50765587"/>
    <w:rsid w:val="50AF03DF"/>
    <w:rsid w:val="50FF1F48"/>
    <w:rsid w:val="510C750B"/>
    <w:rsid w:val="522C46F9"/>
    <w:rsid w:val="528143EA"/>
    <w:rsid w:val="52AB715C"/>
    <w:rsid w:val="53387DD9"/>
    <w:rsid w:val="53B53088"/>
    <w:rsid w:val="54500B66"/>
    <w:rsid w:val="54DA4E19"/>
    <w:rsid w:val="56091AFC"/>
    <w:rsid w:val="56451CD0"/>
    <w:rsid w:val="5715305F"/>
    <w:rsid w:val="576E3BAD"/>
    <w:rsid w:val="57891A80"/>
    <w:rsid w:val="58DA130B"/>
    <w:rsid w:val="5B18170D"/>
    <w:rsid w:val="5D76263B"/>
    <w:rsid w:val="5E605B5B"/>
    <w:rsid w:val="607531F6"/>
    <w:rsid w:val="614B113D"/>
    <w:rsid w:val="61E27FDD"/>
    <w:rsid w:val="624717EE"/>
    <w:rsid w:val="62583ADA"/>
    <w:rsid w:val="62A31344"/>
    <w:rsid w:val="62D33454"/>
    <w:rsid w:val="63E96DC0"/>
    <w:rsid w:val="64861165"/>
    <w:rsid w:val="64F434F7"/>
    <w:rsid w:val="653747B7"/>
    <w:rsid w:val="66D96C06"/>
    <w:rsid w:val="67143ECA"/>
    <w:rsid w:val="676B74C6"/>
    <w:rsid w:val="68F745CC"/>
    <w:rsid w:val="690676EB"/>
    <w:rsid w:val="69792F7F"/>
    <w:rsid w:val="69D56F69"/>
    <w:rsid w:val="6C5A14C4"/>
    <w:rsid w:val="6D784DD0"/>
    <w:rsid w:val="6D7A7A9B"/>
    <w:rsid w:val="6E7D6B3E"/>
    <w:rsid w:val="6F0E1ADB"/>
    <w:rsid w:val="6F20176F"/>
    <w:rsid w:val="6F2E2FFB"/>
    <w:rsid w:val="708175FF"/>
    <w:rsid w:val="71477A65"/>
    <w:rsid w:val="718975A6"/>
    <w:rsid w:val="72404395"/>
    <w:rsid w:val="72F47946"/>
    <w:rsid w:val="738E4D97"/>
    <w:rsid w:val="739A0024"/>
    <w:rsid w:val="739A222C"/>
    <w:rsid w:val="748C151E"/>
    <w:rsid w:val="74B505B4"/>
    <w:rsid w:val="74E855E9"/>
    <w:rsid w:val="7519310C"/>
    <w:rsid w:val="752C50BD"/>
    <w:rsid w:val="774A718A"/>
    <w:rsid w:val="789503FB"/>
    <w:rsid w:val="79977240"/>
    <w:rsid w:val="79EC1004"/>
    <w:rsid w:val="7A446C08"/>
    <w:rsid w:val="7A4734E1"/>
    <w:rsid w:val="7B4A23C3"/>
    <w:rsid w:val="7C7B0C14"/>
    <w:rsid w:val="7DAC2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kern w:val="44"/>
      <w:sz w:val="48"/>
      <w:szCs w:val="48"/>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Administrator.BF-20231007PUYP</dc:creator>
  <cp:lastModifiedBy>lenovo</cp:lastModifiedBy>
  <dcterms:modified xsi:type="dcterms:W3CDTF">2026-02-12T02:13:32Z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