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ind w:right="-333" w:rightChars="-104"/>
        <w:jc w:val="center"/>
        <w:rPr>
          <w:rFonts w:hint="eastAsia" w:ascii="方正小标宋简体" w:eastAsia="方正小标宋简体"/>
          <w:sz w:val="44"/>
          <w:szCs w:val="44"/>
          <w:lang w:eastAsia="zh-CN"/>
        </w:rPr>
      </w:pPr>
      <w:r>
        <w:rPr>
          <w:rFonts w:hint="eastAsia" w:ascii="方正小标宋简体" w:eastAsia="方正小标宋简体"/>
          <w:sz w:val="44"/>
          <w:szCs w:val="44"/>
        </w:rPr>
        <w:t>广西壮族自治区公安厅</w:t>
      </w:r>
      <w:r>
        <w:rPr>
          <w:rFonts w:hint="eastAsia" w:ascii="方正小标宋简体" w:eastAsia="方正小标宋简体"/>
          <w:sz w:val="44"/>
          <w:szCs w:val="44"/>
          <w:lang w:eastAsia="zh-CN"/>
        </w:rPr>
        <w:t>证件制作中心</w:t>
      </w:r>
    </w:p>
    <w:p>
      <w:pPr>
        <w:adjustRightInd w:val="0"/>
        <w:snapToGrid w:val="0"/>
        <w:spacing w:line="560" w:lineRule="exact"/>
        <w:ind w:right="-333" w:rightChars="-104"/>
        <w:jc w:val="center"/>
        <w:rPr>
          <w:rFonts w:hint="eastAsia" w:ascii="黑体" w:hAnsi="宋体" w:eastAsia="方正小标宋简体"/>
          <w:bCs/>
          <w:szCs w:val="32"/>
          <w:lang w:eastAsia="zh-CN"/>
        </w:rPr>
      </w:pPr>
      <w:r>
        <w:rPr>
          <w:rFonts w:hint="eastAsia" w:ascii="方正小标宋简体" w:eastAsia="方正小标宋简体"/>
          <w:sz w:val="44"/>
          <w:szCs w:val="44"/>
          <w:lang w:eastAsia="zh-CN"/>
        </w:rPr>
        <w:t>2026年</w:t>
      </w:r>
      <w:r>
        <w:rPr>
          <w:rFonts w:hint="eastAsia" w:ascii="方正小标宋简体" w:eastAsia="方正小标宋简体"/>
          <w:sz w:val="44"/>
          <w:szCs w:val="44"/>
        </w:rPr>
        <w:t>单位预算公开</w:t>
      </w:r>
      <w:r>
        <w:rPr>
          <w:rFonts w:hint="eastAsia" w:ascii="方正小标宋简体" w:eastAsia="方正小标宋简体"/>
          <w:sz w:val="44"/>
          <w:szCs w:val="44"/>
          <w:lang w:eastAsia="zh-CN"/>
        </w:rPr>
        <w:t>说明</w:t>
      </w:r>
    </w:p>
    <w:p>
      <w:pPr>
        <w:adjustRightInd w:val="0"/>
        <w:snapToGrid w:val="0"/>
        <w:spacing w:line="560" w:lineRule="exact"/>
        <w:ind w:right="-333" w:rightChars="-104"/>
        <w:jc w:val="center"/>
        <w:rPr>
          <w:rFonts w:hint="eastAsia" w:ascii="黑体" w:hAnsi="宋体" w:eastAsia="黑体"/>
          <w:bCs/>
          <w:szCs w:val="32"/>
        </w:rPr>
      </w:pPr>
    </w:p>
    <w:p>
      <w:pPr>
        <w:adjustRightInd w:val="0"/>
        <w:snapToGrid w:val="0"/>
        <w:spacing w:line="560" w:lineRule="exact"/>
        <w:ind w:right="-333" w:rightChars="-104"/>
        <w:jc w:val="center"/>
        <w:rPr>
          <w:rFonts w:hint="eastAsia" w:ascii="黑体" w:hAnsi="宋体" w:eastAsia="黑体"/>
          <w:bCs/>
          <w:szCs w:val="32"/>
        </w:rPr>
      </w:pPr>
      <w:r>
        <w:rPr>
          <w:rFonts w:hint="eastAsia" w:ascii="黑体" w:hAnsi="宋体" w:eastAsia="黑体"/>
          <w:bCs/>
          <w:szCs w:val="32"/>
        </w:rPr>
        <w:t>目  录</w:t>
      </w:r>
    </w:p>
    <w:p>
      <w:pPr>
        <w:adjustRightInd w:val="0"/>
        <w:snapToGrid w:val="0"/>
        <w:spacing w:line="560" w:lineRule="exact"/>
        <w:ind w:right="-333" w:rightChars="-104" w:firstLine="640" w:firstLineChars="200"/>
        <w:rPr>
          <w:rFonts w:hint="eastAsia" w:ascii="黑体" w:hAnsi="宋体" w:eastAsia="黑体"/>
          <w:bCs/>
          <w:szCs w:val="32"/>
        </w:rPr>
      </w:pPr>
    </w:p>
    <w:p>
      <w:pPr>
        <w:adjustRightInd w:val="0"/>
        <w:snapToGrid w:val="0"/>
        <w:spacing w:line="560" w:lineRule="exact"/>
        <w:ind w:right="-333" w:rightChars="-104" w:firstLine="640" w:firstLineChars="200"/>
        <w:rPr>
          <w:rFonts w:hint="eastAsia" w:ascii="黑体" w:hAnsi="宋体" w:eastAsia="黑体"/>
          <w:bCs/>
          <w:szCs w:val="32"/>
        </w:rPr>
      </w:pPr>
      <w:r>
        <w:rPr>
          <w:rFonts w:hint="eastAsia" w:ascii="黑体" w:hAnsi="宋体" w:eastAsia="黑体"/>
          <w:bCs/>
          <w:szCs w:val="32"/>
        </w:rPr>
        <w:t>第一部分：单位概况</w:t>
      </w:r>
    </w:p>
    <w:p>
      <w:pPr>
        <w:adjustRightInd w:val="0"/>
        <w:snapToGrid w:val="0"/>
        <w:spacing w:line="560" w:lineRule="exact"/>
        <w:ind w:right="-333" w:rightChars="-104" w:firstLine="640" w:firstLineChars="200"/>
        <w:rPr>
          <w:rFonts w:hint="eastAsia" w:ascii="黑体" w:hAnsi="宋体" w:eastAsia="黑体"/>
          <w:bCs/>
          <w:szCs w:val="32"/>
        </w:rPr>
      </w:pPr>
    </w:p>
    <w:p>
      <w:pPr>
        <w:adjustRightInd w:val="0"/>
        <w:snapToGrid w:val="0"/>
        <w:spacing w:line="560" w:lineRule="exact"/>
        <w:ind w:right="-333" w:rightChars="-104" w:firstLine="640" w:firstLineChars="200"/>
        <w:rPr>
          <w:rFonts w:hint="eastAsia" w:ascii="黑体" w:hAnsi="宋体" w:eastAsia="黑体"/>
          <w:bCs/>
          <w:szCs w:val="32"/>
        </w:rPr>
      </w:pPr>
      <w:r>
        <w:rPr>
          <w:rFonts w:hint="eastAsia" w:ascii="黑体" w:eastAsia="黑体"/>
          <w:szCs w:val="32"/>
        </w:rPr>
        <w:t>第二部分：广西壮族自治区公安厅证件制作中</w:t>
      </w:r>
      <w:r>
        <w:rPr>
          <w:rFonts w:hint="eastAsia" w:ascii="黑体" w:eastAsia="黑体"/>
          <w:szCs w:val="32"/>
          <w:lang w:eastAsia="zh-CN"/>
        </w:rPr>
        <w:t>心</w:t>
      </w:r>
      <w:r>
        <w:rPr>
          <w:rFonts w:hint="eastAsia" w:ascii="黑体" w:hAnsi="宋体" w:eastAsia="黑体"/>
          <w:szCs w:val="32"/>
          <w:lang w:eastAsia="zh-CN"/>
        </w:rPr>
        <w:t>2026年</w:t>
      </w:r>
      <w:r>
        <w:rPr>
          <w:rFonts w:hint="eastAsia" w:ascii="黑体" w:eastAsia="黑体"/>
          <w:szCs w:val="32"/>
        </w:rPr>
        <w:t>单位预算情况说明</w:t>
      </w:r>
    </w:p>
    <w:p>
      <w:pPr>
        <w:adjustRightInd w:val="0"/>
        <w:snapToGrid w:val="0"/>
        <w:spacing w:line="560" w:lineRule="exact"/>
        <w:ind w:right="-333" w:rightChars="-104" w:firstLine="640" w:firstLineChars="200"/>
        <w:rPr>
          <w:rFonts w:hint="eastAsia" w:ascii="黑体" w:hAnsi="宋体" w:eastAsia="黑体"/>
          <w:bCs/>
          <w:szCs w:val="32"/>
        </w:rPr>
      </w:pPr>
    </w:p>
    <w:p>
      <w:pPr>
        <w:adjustRightInd w:val="0"/>
        <w:snapToGrid w:val="0"/>
        <w:spacing w:line="560" w:lineRule="exact"/>
        <w:ind w:right="-333" w:rightChars="-104" w:firstLine="640" w:firstLineChars="200"/>
        <w:rPr>
          <w:rFonts w:hint="eastAsia" w:ascii="黑体" w:hAnsi="宋体" w:eastAsia="黑体"/>
          <w:bCs/>
          <w:szCs w:val="32"/>
        </w:rPr>
      </w:pPr>
      <w:r>
        <w:rPr>
          <w:rFonts w:hint="eastAsia" w:ascii="黑体" w:eastAsia="黑体"/>
          <w:szCs w:val="32"/>
        </w:rPr>
        <w:t>第三部分：名词解释</w:t>
      </w:r>
    </w:p>
    <w:p>
      <w:pPr>
        <w:adjustRightInd w:val="0"/>
        <w:snapToGrid w:val="0"/>
        <w:spacing w:line="560" w:lineRule="exact"/>
        <w:ind w:right="-333" w:rightChars="-104" w:firstLine="640" w:firstLineChars="200"/>
        <w:rPr>
          <w:rFonts w:hint="eastAsia" w:ascii="黑体" w:hAnsi="宋体" w:eastAsia="黑体"/>
          <w:bCs/>
          <w:szCs w:val="32"/>
        </w:rPr>
      </w:pPr>
    </w:p>
    <w:p>
      <w:pPr>
        <w:adjustRightInd w:val="0"/>
        <w:snapToGrid w:val="0"/>
        <w:spacing w:line="560" w:lineRule="exact"/>
        <w:ind w:right="-333" w:rightChars="-104" w:firstLine="640" w:firstLineChars="200"/>
        <w:rPr>
          <w:rFonts w:hint="eastAsia" w:ascii="黑体" w:hAnsi="宋体" w:eastAsia="黑体"/>
          <w:bCs/>
          <w:szCs w:val="32"/>
        </w:rPr>
      </w:pPr>
      <w:r>
        <w:rPr>
          <w:rFonts w:hint="eastAsia" w:ascii="黑体" w:hAnsi="宋体" w:eastAsia="黑体"/>
          <w:bCs/>
          <w:szCs w:val="32"/>
        </w:rPr>
        <w:t>第四部分：</w:t>
      </w:r>
      <w:r>
        <w:rPr>
          <w:rFonts w:hint="eastAsia" w:ascii="黑体" w:eastAsia="黑体"/>
          <w:szCs w:val="32"/>
        </w:rPr>
        <w:t>广西壮族自治区公安厅证件制作中</w:t>
      </w:r>
      <w:r>
        <w:rPr>
          <w:rFonts w:hint="eastAsia" w:ascii="黑体" w:eastAsia="黑体"/>
          <w:szCs w:val="32"/>
          <w:lang w:eastAsia="zh-CN"/>
        </w:rPr>
        <w:t>心</w:t>
      </w:r>
      <w:r>
        <w:rPr>
          <w:rFonts w:hint="eastAsia" w:ascii="黑体" w:hAnsi="宋体" w:eastAsia="黑体"/>
          <w:szCs w:val="32"/>
          <w:lang w:eastAsia="zh-CN"/>
        </w:rPr>
        <w:t>2026年</w:t>
      </w:r>
      <w:r>
        <w:rPr>
          <w:rFonts w:hint="eastAsia" w:ascii="黑体" w:eastAsia="黑体"/>
          <w:szCs w:val="32"/>
        </w:rPr>
        <w:t>单位预算公开报表</w:t>
      </w:r>
    </w:p>
    <w:p>
      <w:pPr>
        <w:adjustRightInd w:val="0"/>
        <w:snapToGrid w:val="0"/>
        <w:spacing w:line="560" w:lineRule="exact"/>
        <w:ind w:right="-333" w:rightChars="-104" w:firstLine="640" w:firstLineChars="200"/>
        <w:rPr>
          <w:rFonts w:hint="eastAsia" w:ascii="黑体" w:hAnsi="宋体" w:eastAsia="黑体"/>
          <w:bCs/>
          <w:szCs w:val="32"/>
        </w:rPr>
      </w:pPr>
    </w:p>
    <w:p>
      <w:pPr>
        <w:adjustRightInd w:val="0"/>
        <w:snapToGrid w:val="0"/>
        <w:spacing w:line="560" w:lineRule="exact"/>
        <w:ind w:right="-333" w:rightChars="-104" w:firstLine="640" w:firstLineChars="200"/>
        <w:rPr>
          <w:rFonts w:hint="eastAsia" w:ascii="黑体" w:hAnsi="宋体" w:eastAsia="黑体"/>
          <w:bCs/>
          <w:szCs w:val="32"/>
        </w:rPr>
      </w:pPr>
    </w:p>
    <w:p>
      <w:pPr>
        <w:adjustRightInd w:val="0"/>
        <w:snapToGrid w:val="0"/>
        <w:spacing w:line="560" w:lineRule="exact"/>
        <w:ind w:right="-333" w:rightChars="-104" w:firstLine="640" w:firstLineChars="200"/>
        <w:rPr>
          <w:rFonts w:hint="eastAsia" w:ascii="黑体" w:hAnsi="宋体" w:eastAsia="黑体"/>
          <w:bCs/>
          <w:szCs w:val="32"/>
        </w:rPr>
      </w:pPr>
    </w:p>
    <w:p>
      <w:pPr>
        <w:adjustRightInd w:val="0"/>
        <w:snapToGrid w:val="0"/>
        <w:spacing w:line="560" w:lineRule="exact"/>
        <w:ind w:right="-333" w:rightChars="-104" w:firstLine="640" w:firstLineChars="200"/>
        <w:rPr>
          <w:rFonts w:hint="eastAsia" w:ascii="黑体" w:hAnsi="宋体" w:eastAsia="黑体"/>
          <w:bCs/>
          <w:szCs w:val="32"/>
        </w:rPr>
      </w:pPr>
    </w:p>
    <w:p>
      <w:pPr>
        <w:adjustRightInd w:val="0"/>
        <w:snapToGrid w:val="0"/>
        <w:spacing w:line="560" w:lineRule="exact"/>
        <w:ind w:right="-333" w:rightChars="-104" w:firstLine="0" w:firstLineChars="0"/>
        <w:rPr>
          <w:rFonts w:hint="eastAsia" w:ascii="黑体" w:hAnsi="宋体" w:eastAsia="黑体"/>
          <w:bCs/>
          <w:szCs w:val="32"/>
        </w:rPr>
      </w:pPr>
    </w:p>
    <w:p>
      <w:pPr>
        <w:adjustRightInd w:val="0"/>
        <w:snapToGrid w:val="0"/>
        <w:spacing w:line="560" w:lineRule="exact"/>
        <w:ind w:right="-333" w:rightChars="-104" w:firstLine="0" w:firstLineChars="0"/>
        <w:rPr>
          <w:rFonts w:hint="eastAsia" w:ascii="黑体" w:hAnsi="宋体" w:eastAsia="黑体"/>
          <w:bCs/>
          <w:szCs w:val="32"/>
        </w:rPr>
      </w:pPr>
    </w:p>
    <w:p>
      <w:pPr>
        <w:adjustRightInd w:val="0"/>
        <w:snapToGrid w:val="0"/>
        <w:spacing w:line="560" w:lineRule="exact"/>
        <w:ind w:right="-333" w:rightChars="-104" w:firstLine="0" w:firstLineChars="0"/>
        <w:rPr>
          <w:rFonts w:hint="eastAsia" w:ascii="黑体" w:hAnsi="宋体" w:eastAsia="黑体"/>
          <w:bCs/>
          <w:szCs w:val="32"/>
        </w:rPr>
      </w:pPr>
    </w:p>
    <w:p>
      <w:pPr>
        <w:adjustRightInd w:val="0"/>
        <w:snapToGrid w:val="0"/>
        <w:spacing w:line="560" w:lineRule="exact"/>
        <w:ind w:right="-333" w:rightChars="-104" w:firstLine="0" w:firstLineChars="0"/>
        <w:rPr>
          <w:rFonts w:hint="eastAsia" w:ascii="黑体" w:hAnsi="宋体" w:eastAsia="黑体"/>
          <w:bCs/>
          <w:szCs w:val="32"/>
        </w:rPr>
      </w:pPr>
    </w:p>
    <w:p>
      <w:pPr>
        <w:adjustRightInd w:val="0"/>
        <w:snapToGrid w:val="0"/>
        <w:spacing w:line="560" w:lineRule="exact"/>
        <w:ind w:right="-333" w:rightChars="-104" w:firstLine="640" w:firstLineChars="200"/>
        <w:rPr>
          <w:rFonts w:hint="eastAsia" w:ascii="黑体" w:hAnsi="宋体" w:eastAsia="黑体"/>
          <w:bCs/>
          <w:szCs w:val="32"/>
        </w:rPr>
      </w:pPr>
      <w:r>
        <w:rPr>
          <w:rFonts w:hint="eastAsia" w:ascii="黑体" w:hAnsi="宋体" w:eastAsia="黑体"/>
          <w:bCs/>
          <w:szCs w:val="32"/>
        </w:rPr>
        <w:t>第一部分：单位概况</w:t>
      </w:r>
    </w:p>
    <w:p>
      <w:pPr>
        <w:numPr>
          <w:ilvl w:val="0"/>
          <w:numId w:val="1"/>
        </w:numPr>
        <w:adjustRightInd w:val="0"/>
        <w:snapToGrid w:val="0"/>
        <w:spacing w:line="560" w:lineRule="exact"/>
        <w:ind w:right="-333" w:rightChars="-104" w:firstLine="640" w:firstLineChars="200"/>
        <w:rPr>
          <w:rFonts w:hint="eastAsia" w:ascii="黑体" w:hAnsi="宋体" w:eastAsia="黑体"/>
          <w:szCs w:val="32"/>
        </w:rPr>
      </w:pPr>
      <w:r>
        <w:rPr>
          <w:rFonts w:hint="eastAsia" w:ascii="黑体" w:hAnsi="宋体" w:eastAsia="黑体"/>
          <w:szCs w:val="32"/>
        </w:rPr>
        <w:t>单位主要职能</w:t>
      </w:r>
    </w:p>
    <w:p>
      <w:pPr>
        <w:tabs>
          <w:tab w:val="center" w:pos="4475"/>
        </w:tabs>
        <w:spacing w:line="560" w:lineRule="exact"/>
        <w:ind w:firstLine="645"/>
        <w:rPr>
          <w:rFonts w:hint="eastAsia" w:ascii="仿宋_GB2312"/>
          <w:sz w:val="32"/>
          <w:szCs w:val="32"/>
          <w:lang w:eastAsia="zh-CN"/>
        </w:rPr>
      </w:pPr>
      <w:r>
        <w:rPr>
          <w:rFonts w:hint="eastAsia" w:ascii="仿宋_GB2312"/>
          <w:sz w:val="32"/>
          <w:szCs w:val="32"/>
          <w:lang w:eastAsia="zh-CN"/>
        </w:rPr>
        <w:t>广西壮族自治区公安厅证件制作中心（以下简称：制证中心）是</w:t>
      </w:r>
      <w:r>
        <w:rPr>
          <w:rFonts w:hint="eastAsia" w:ascii="仿宋_GB2312"/>
          <w:sz w:val="32"/>
          <w:szCs w:val="32"/>
          <w:lang w:val="en-US" w:eastAsia="zh-CN"/>
        </w:rPr>
        <w:t>2025年2月</w:t>
      </w:r>
      <w:r>
        <w:rPr>
          <w:rFonts w:hint="eastAsia" w:ascii="仿宋_GB2312"/>
          <w:sz w:val="32"/>
          <w:szCs w:val="32"/>
          <w:lang w:eastAsia="zh-CN"/>
        </w:rPr>
        <w:t>由原广西壮族自治区公安厅居民身份证制作中心</w:t>
      </w:r>
      <w:r>
        <w:rPr>
          <w:rFonts w:hint="eastAsia" w:ascii="仿宋_GB2312"/>
          <w:sz w:val="32"/>
          <w:szCs w:val="32"/>
          <w:lang w:val="en-US" w:eastAsia="zh-CN"/>
        </w:rPr>
        <w:t>和</w:t>
      </w:r>
      <w:r>
        <w:rPr>
          <w:rFonts w:hint="eastAsia" w:ascii="仿宋_GB2312"/>
          <w:sz w:val="32"/>
          <w:szCs w:val="32"/>
          <w:lang w:eastAsia="zh-CN"/>
        </w:rPr>
        <w:t>原广西壮族自治区公安厅出入境证件制作中心</w:t>
      </w:r>
      <w:r>
        <w:rPr>
          <w:rFonts w:hint="eastAsia" w:ascii="仿宋_GB2312"/>
          <w:sz w:val="32"/>
          <w:szCs w:val="32"/>
          <w:lang w:val="en-US" w:eastAsia="zh-CN"/>
        </w:rPr>
        <w:t>整合设立，</w:t>
      </w:r>
      <w:r>
        <w:rPr>
          <w:rFonts w:hint="eastAsia" w:ascii="仿宋_GB2312"/>
          <w:sz w:val="32"/>
          <w:szCs w:val="32"/>
          <w:lang w:eastAsia="zh-CN"/>
        </w:rPr>
        <w:t>主要负责广西全区居民身份证、出入境证件、特种证件制作及相关信息系统维护管理，空白证件管理，制证印章管理等业务。因制证中心</w:t>
      </w:r>
      <w:r>
        <w:rPr>
          <w:rFonts w:hint="eastAsia" w:ascii="仿宋_GB2312"/>
          <w:sz w:val="32"/>
          <w:szCs w:val="32"/>
          <w:lang w:val="en-US" w:eastAsia="zh-CN"/>
        </w:rPr>
        <w:t>数据无同期可比口径，本次同比分析以原有两个单位合并财务数据为基准，对制证中心预算数据进行溯源对比。</w:t>
      </w:r>
    </w:p>
    <w:p>
      <w:pPr>
        <w:spacing w:line="560" w:lineRule="exact"/>
        <w:ind w:firstLine="640" w:firstLineChars="200"/>
        <w:rPr>
          <w:rFonts w:hint="eastAsia" w:ascii="黑体" w:hAnsi="宋体" w:eastAsia="黑体"/>
          <w:szCs w:val="32"/>
        </w:rPr>
      </w:pPr>
      <w:r>
        <w:rPr>
          <w:rFonts w:hint="eastAsia" w:ascii="黑体" w:hAnsi="宋体" w:eastAsia="黑体"/>
          <w:szCs w:val="32"/>
        </w:rPr>
        <w:t>二、机构设置情况</w:t>
      </w:r>
    </w:p>
    <w:p>
      <w:pPr>
        <w:spacing w:line="560" w:lineRule="exact"/>
        <w:ind w:firstLine="640" w:firstLineChars="200"/>
        <w:rPr>
          <w:rFonts w:hint="eastAsia" w:ascii="仿宋_GB2312" w:hAnsi="宋体"/>
          <w:szCs w:val="32"/>
        </w:rPr>
      </w:pPr>
      <w:r>
        <w:rPr>
          <w:rFonts w:hint="eastAsia" w:ascii="仿宋_GB2312" w:hAnsi="宋体"/>
          <w:szCs w:val="32"/>
          <w:lang w:eastAsia="zh-CN"/>
        </w:rPr>
        <w:t>制证</w:t>
      </w:r>
      <w:r>
        <w:rPr>
          <w:rFonts w:hint="eastAsia" w:ascii="仿宋_GB2312" w:hAnsi="宋体"/>
          <w:szCs w:val="32"/>
        </w:rPr>
        <w:t>中心为公益一类事业单位</w:t>
      </w:r>
      <w:r>
        <w:rPr>
          <w:rFonts w:hint="eastAsia" w:ascii="仿宋_GB2312" w:hAnsi="宋体"/>
          <w:szCs w:val="32"/>
          <w:lang w:eastAsia="zh-CN"/>
        </w:rPr>
        <w:t>，</w:t>
      </w:r>
      <w:r>
        <w:rPr>
          <w:rFonts w:hint="eastAsia" w:ascii="仿宋_GB2312" w:hAnsi="宋体"/>
          <w:szCs w:val="32"/>
          <w:lang w:val="en-US" w:eastAsia="zh-CN"/>
        </w:rPr>
        <w:t>内设机构共6个，分别为：</w:t>
      </w:r>
      <w:r>
        <w:rPr>
          <w:rFonts w:hint="eastAsia" w:ascii="仿宋_GB2312" w:hAnsi="宋体"/>
          <w:szCs w:val="32"/>
        </w:rPr>
        <w:t>综合</w:t>
      </w:r>
      <w:r>
        <w:rPr>
          <w:rFonts w:hint="eastAsia" w:ascii="仿宋_GB2312" w:hAnsi="宋体"/>
          <w:szCs w:val="32"/>
          <w:lang w:eastAsia="zh-CN"/>
        </w:rPr>
        <w:t>保障部</w:t>
      </w:r>
      <w:r>
        <w:rPr>
          <w:rFonts w:hint="eastAsia" w:ascii="仿宋_GB2312" w:hAnsi="宋体"/>
          <w:szCs w:val="32"/>
        </w:rPr>
        <w:t>、出入境证件制作部</w:t>
      </w:r>
      <w:r>
        <w:rPr>
          <w:rFonts w:hint="eastAsia" w:ascii="仿宋_GB2312" w:hAnsi="宋体"/>
          <w:szCs w:val="32"/>
          <w:lang w:eastAsia="zh-CN"/>
        </w:rPr>
        <w:t>、户籍证件制作部、证件服务部、技术保障部和财务室</w:t>
      </w:r>
      <w:r>
        <w:rPr>
          <w:rFonts w:hint="eastAsia" w:ascii="仿宋_GB2312" w:hAnsi="宋体"/>
          <w:szCs w:val="32"/>
        </w:rPr>
        <w:t>。</w:t>
      </w:r>
    </w:p>
    <w:p>
      <w:pPr>
        <w:spacing w:line="560" w:lineRule="exact"/>
        <w:ind w:firstLine="640" w:firstLineChars="200"/>
        <w:rPr>
          <w:rFonts w:hint="eastAsia" w:ascii="仿宋_GB2312" w:hAnsi="宋体"/>
          <w:szCs w:val="32"/>
        </w:rPr>
      </w:pPr>
    </w:p>
    <w:p>
      <w:pPr>
        <w:tabs>
          <w:tab w:val="center" w:pos="4475"/>
        </w:tabs>
        <w:spacing w:line="560" w:lineRule="exact"/>
        <w:ind w:firstLine="645"/>
        <w:rPr>
          <w:rFonts w:hint="eastAsia" w:ascii="仿宋_GB2312" w:hAnsi="仿宋_GB2312" w:eastAsia="仿宋_GB2312" w:cs="仿宋_GB2312"/>
          <w:szCs w:val="32"/>
          <w:highlight w:val="none"/>
        </w:rPr>
      </w:pPr>
      <w:r>
        <w:rPr>
          <w:rFonts w:hint="eastAsia" w:ascii="黑体" w:eastAsia="黑体"/>
          <w:szCs w:val="32"/>
        </w:rPr>
        <w:t>第二部分：广西壮族自治区公安厅证件制作中心</w:t>
      </w:r>
      <w:r>
        <w:rPr>
          <w:rFonts w:hint="eastAsia" w:ascii="黑体" w:hAnsi="宋体" w:eastAsia="黑体"/>
          <w:szCs w:val="32"/>
          <w:lang w:eastAsia="zh-CN"/>
        </w:rPr>
        <w:t>2026年</w:t>
      </w:r>
      <w:r>
        <w:rPr>
          <w:rFonts w:hint="eastAsia" w:ascii="黑体" w:eastAsia="黑体"/>
          <w:szCs w:val="32"/>
        </w:rPr>
        <w:t>单位预算情况说明</w:t>
      </w:r>
    </w:p>
    <w:p>
      <w:pPr>
        <w:tabs>
          <w:tab w:val="center" w:pos="4475"/>
        </w:tabs>
        <w:spacing w:line="560" w:lineRule="exact"/>
        <w:ind w:firstLine="645"/>
        <w:rPr>
          <w:rFonts w:hint="eastAsia" w:ascii="黑体" w:eastAsia="黑体"/>
          <w:szCs w:val="32"/>
        </w:rPr>
      </w:pPr>
      <w:r>
        <w:rPr>
          <w:rFonts w:hint="eastAsia" w:ascii="黑体" w:eastAsia="黑体"/>
          <w:szCs w:val="32"/>
        </w:rPr>
        <w:t>一、单位</w:t>
      </w:r>
      <w:r>
        <w:rPr>
          <w:rFonts w:hint="eastAsia" w:ascii="黑体" w:eastAsia="黑体"/>
          <w:szCs w:val="32"/>
          <w:lang w:eastAsia="zh-CN"/>
        </w:rPr>
        <w:t>预算</w:t>
      </w:r>
      <w:r>
        <w:rPr>
          <w:rFonts w:hint="eastAsia" w:ascii="黑体" w:eastAsia="黑体"/>
          <w:szCs w:val="32"/>
        </w:rPr>
        <w:t>收支</w:t>
      </w:r>
      <w:r>
        <w:rPr>
          <w:rFonts w:hint="eastAsia" w:ascii="黑体" w:eastAsia="黑体"/>
          <w:szCs w:val="32"/>
          <w:lang w:eastAsia="zh-CN"/>
        </w:rPr>
        <w:t>增减变化</w:t>
      </w:r>
      <w:r>
        <w:rPr>
          <w:rFonts w:hint="eastAsia" w:ascii="黑体" w:eastAsia="黑体"/>
          <w:szCs w:val="32"/>
        </w:rPr>
        <w:t>情况说明</w:t>
      </w:r>
    </w:p>
    <w:p>
      <w:pPr>
        <w:tabs>
          <w:tab w:val="center" w:pos="4475"/>
        </w:tabs>
        <w:spacing w:line="560" w:lineRule="exact"/>
        <w:ind w:firstLine="645"/>
        <w:rPr>
          <w:rFonts w:hint="eastAsia" w:ascii="黑体" w:eastAsia="黑体"/>
          <w:szCs w:val="32"/>
        </w:rPr>
      </w:pPr>
      <w:r>
        <w:rPr>
          <w:rFonts w:hint="eastAsia" w:ascii="仿宋_GB2312" w:hAnsi="宋体" w:eastAsia="仿宋_GB2312" w:cs="Times New Roman"/>
          <w:szCs w:val="32"/>
          <w:highlight w:val="none"/>
          <w:lang w:eastAsia="zh-CN"/>
        </w:rPr>
        <w:t>我</w:t>
      </w:r>
      <w:r>
        <w:rPr>
          <w:rFonts w:hint="eastAsia" w:ascii="仿宋_GB2312" w:hAnsi="宋体" w:cs="Times New Roman"/>
          <w:szCs w:val="32"/>
          <w:highlight w:val="none"/>
          <w:lang w:eastAsia="zh-CN"/>
        </w:rPr>
        <w:t>单位</w:t>
      </w:r>
      <w:r>
        <w:rPr>
          <w:rFonts w:hint="eastAsia" w:ascii="仿宋_GB2312" w:eastAsia="仿宋_GB2312"/>
          <w:sz w:val="32"/>
          <w:szCs w:val="32"/>
        </w:rPr>
        <w:t>总收入</w:t>
      </w:r>
      <w:r>
        <w:rPr>
          <w:rFonts w:hint="eastAsia" w:ascii="仿宋_GB2312"/>
          <w:sz w:val="32"/>
          <w:szCs w:val="32"/>
          <w:lang w:val="en-US" w:eastAsia="zh-CN"/>
        </w:rPr>
        <w:t>1488.05</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总支出</w:t>
      </w:r>
      <w:r>
        <w:rPr>
          <w:rFonts w:hint="eastAsia" w:ascii="仿宋_GB2312"/>
          <w:sz w:val="32"/>
          <w:szCs w:val="32"/>
          <w:lang w:val="en-US" w:eastAsia="zh-CN"/>
        </w:rPr>
        <w:t>1488.05</w:t>
      </w:r>
      <w:r>
        <w:rPr>
          <w:rFonts w:hint="eastAsia" w:ascii="仿宋_GB2312" w:eastAsia="仿宋_GB2312"/>
          <w:sz w:val="32"/>
          <w:szCs w:val="32"/>
        </w:rPr>
        <w:t>万元</w:t>
      </w:r>
      <w:r>
        <w:rPr>
          <w:rFonts w:hint="eastAsia" w:ascii="仿宋_GB2312" w:eastAsia="仿宋_GB2312"/>
          <w:sz w:val="32"/>
          <w:szCs w:val="32"/>
          <w:highlight w:val="none"/>
          <w:lang w:eastAsia="zh-CN"/>
        </w:rPr>
        <w:t>（不含财政拨款上年未列支结转收支数）</w:t>
      </w:r>
      <w:r>
        <w:rPr>
          <w:rFonts w:hint="eastAsia" w:ascii="仿宋_GB2312" w:eastAsia="仿宋_GB2312"/>
          <w:sz w:val="32"/>
          <w:szCs w:val="32"/>
          <w:lang w:eastAsia="zh-CN"/>
        </w:rPr>
        <w:t>。</w:t>
      </w:r>
      <w:r>
        <w:rPr>
          <w:rFonts w:hint="eastAsia" w:ascii="仿宋_GB2312"/>
          <w:sz w:val="32"/>
          <w:szCs w:val="32"/>
          <w:lang w:eastAsia="zh-CN"/>
        </w:rPr>
        <w:t>总收入较上年减少</w:t>
      </w:r>
      <w:r>
        <w:rPr>
          <w:rFonts w:hint="eastAsia" w:ascii="仿宋_GB2312"/>
          <w:sz w:val="32"/>
          <w:szCs w:val="32"/>
          <w:lang w:val="en-US" w:eastAsia="zh-CN"/>
        </w:rPr>
        <w:t>52.32</w:t>
      </w:r>
      <w:r>
        <w:rPr>
          <w:rFonts w:hint="eastAsia" w:ascii="仿宋_GB2312"/>
          <w:sz w:val="32"/>
          <w:szCs w:val="32"/>
          <w:lang w:val="en" w:eastAsia="zh-CN"/>
        </w:rPr>
        <w:t>万元，</w:t>
      </w:r>
      <w:r>
        <w:rPr>
          <w:rFonts w:hint="eastAsia" w:ascii="仿宋_GB2312"/>
          <w:sz w:val="32"/>
          <w:szCs w:val="32"/>
          <w:lang w:eastAsia="zh-CN"/>
        </w:rPr>
        <w:t>下降</w:t>
      </w:r>
      <w:r>
        <w:rPr>
          <w:rFonts w:hint="eastAsia" w:ascii="仿宋_GB2312"/>
          <w:sz w:val="32"/>
          <w:szCs w:val="32"/>
          <w:lang w:val="en-US" w:eastAsia="zh-CN"/>
        </w:rPr>
        <w:t>3.4%，主要原因是人员调动，工资总额减少，</w:t>
      </w:r>
      <w:r>
        <w:rPr>
          <w:rFonts w:hint="eastAsia" w:ascii="仿宋_GB2312" w:hAnsi="仿宋_GB2312" w:eastAsia="仿宋_GB2312" w:cs="仿宋_GB2312"/>
          <w:color w:val="auto"/>
          <w:sz w:val="32"/>
          <w:szCs w:val="32"/>
          <w:highlight w:val="none"/>
          <w:lang w:val="en-US" w:eastAsia="zh-CN"/>
        </w:rPr>
        <w:t>因此通过一般公共预算收入安排的预算经费相应减少。</w:t>
      </w:r>
      <w:r>
        <w:rPr>
          <w:rFonts w:hint="eastAsia" w:ascii="仿宋_GB2312"/>
          <w:sz w:val="32"/>
          <w:szCs w:val="32"/>
          <w:lang w:val="en-US" w:eastAsia="zh-CN"/>
        </w:rPr>
        <w:t>总支出</w:t>
      </w:r>
      <w:r>
        <w:rPr>
          <w:rFonts w:hint="eastAsia" w:ascii="仿宋_GB2312"/>
          <w:sz w:val="32"/>
          <w:szCs w:val="32"/>
          <w:lang w:eastAsia="zh-CN"/>
        </w:rPr>
        <w:t>较上年减少</w:t>
      </w:r>
      <w:r>
        <w:rPr>
          <w:rFonts w:hint="eastAsia" w:ascii="仿宋_GB2312"/>
          <w:sz w:val="32"/>
          <w:szCs w:val="32"/>
          <w:lang w:val="en-US" w:eastAsia="zh-CN"/>
        </w:rPr>
        <w:t>52.32</w:t>
      </w:r>
      <w:r>
        <w:rPr>
          <w:rFonts w:hint="eastAsia" w:ascii="仿宋_GB2312"/>
          <w:sz w:val="32"/>
          <w:szCs w:val="32"/>
          <w:lang w:val="en" w:eastAsia="zh-CN"/>
        </w:rPr>
        <w:t>万元，</w:t>
      </w:r>
      <w:r>
        <w:rPr>
          <w:rFonts w:hint="eastAsia" w:ascii="仿宋_GB2312"/>
          <w:sz w:val="32"/>
          <w:szCs w:val="32"/>
          <w:lang w:eastAsia="zh-CN"/>
        </w:rPr>
        <w:t>下降</w:t>
      </w:r>
      <w:r>
        <w:rPr>
          <w:rFonts w:hint="eastAsia" w:ascii="仿宋_GB2312"/>
          <w:sz w:val="32"/>
          <w:szCs w:val="32"/>
          <w:lang w:val="en-US" w:eastAsia="zh-CN"/>
        </w:rPr>
        <w:t>3.4%，主要原因是人员调动，工资总额减少。</w:t>
      </w:r>
    </w:p>
    <w:p>
      <w:pPr>
        <w:tabs>
          <w:tab w:val="center" w:pos="4475"/>
        </w:tabs>
        <w:spacing w:line="560" w:lineRule="exact"/>
        <w:ind w:firstLine="645"/>
        <w:rPr>
          <w:rFonts w:hint="eastAsia" w:ascii="黑体" w:eastAsia="黑体"/>
          <w:szCs w:val="32"/>
        </w:rPr>
      </w:pPr>
      <w:r>
        <w:rPr>
          <w:rFonts w:hint="eastAsia" w:ascii="黑体" w:eastAsia="黑体"/>
          <w:szCs w:val="32"/>
        </w:rPr>
        <w:t>二、单位</w:t>
      </w:r>
      <w:r>
        <w:rPr>
          <w:rFonts w:hint="eastAsia" w:ascii="黑体" w:eastAsia="黑体"/>
          <w:szCs w:val="32"/>
          <w:lang w:eastAsia="zh-CN"/>
        </w:rPr>
        <w:t>预算</w:t>
      </w:r>
      <w:r>
        <w:rPr>
          <w:rFonts w:hint="eastAsia" w:ascii="黑体" w:eastAsia="黑体"/>
          <w:szCs w:val="32"/>
        </w:rPr>
        <w:t>收入总体情况说明</w:t>
      </w:r>
    </w:p>
    <w:p>
      <w:pPr>
        <w:tabs>
          <w:tab w:val="center" w:pos="4475"/>
        </w:tabs>
        <w:spacing w:line="560" w:lineRule="exact"/>
        <w:ind w:firstLine="645"/>
        <w:rPr>
          <w:rFonts w:hint="default" w:ascii="仿宋_GB2312" w:hAnsi="宋体" w:eastAsia="仿宋_GB2312" w:cs="Times New Roman"/>
          <w:color w:val="auto"/>
          <w:szCs w:val="32"/>
          <w:highlight w:val="none"/>
          <w:lang w:val="en-US" w:eastAsia="zh-CN"/>
        </w:rPr>
      </w:pPr>
      <w:r>
        <w:rPr>
          <w:rFonts w:hint="eastAsia" w:ascii="仿宋_GB2312" w:hAnsi="宋体" w:eastAsia="仿宋_GB2312" w:cs="Times New Roman"/>
          <w:szCs w:val="32"/>
          <w:highlight w:val="none"/>
          <w:lang w:eastAsia="zh-CN"/>
        </w:rPr>
        <w:t>我</w:t>
      </w:r>
      <w:r>
        <w:rPr>
          <w:rFonts w:hint="eastAsia" w:ascii="仿宋_GB2312" w:hAnsi="宋体" w:cs="Times New Roman"/>
          <w:szCs w:val="32"/>
          <w:highlight w:val="none"/>
          <w:lang w:eastAsia="zh-CN"/>
        </w:rPr>
        <w:t>单位</w:t>
      </w:r>
      <w:r>
        <w:rPr>
          <w:rFonts w:hint="eastAsia" w:ascii="仿宋_GB2312" w:eastAsia="仿宋_GB2312"/>
          <w:sz w:val="32"/>
          <w:szCs w:val="32"/>
        </w:rPr>
        <w:t>总收入</w:t>
      </w:r>
      <w:r>
        <w:rPr>
          <w:rFonts w:hint="eastAsia" w:ascii="仿宋_GB2312"/>
          <w:sz w:val="32"/>
          <w:szCs w:val="32"/>
          <w:lang w:val="en-US" w:eastAsia="zh-CN"/>
        </w:rPr>
        <w:t>1488.05</w:t>
      </w:r>
      <w:r>
        <w:rPr>
          <w:rFonts w:hint="eastAsia" w:ascii="仿宋_GB2312" w:eastAsia="仿宋_GB2312"/>
          <w:sz w:val="32"/>
          <w:szCs w:val="32"/>
        </w:rPr>
        <w:t>万元</w:t>
      </w:r>
      <w:r>
        <w:rPr>
          <w:rFonts w:hint="eastAsia" w:ascii="仿宋_GB2312"/>
          <w:sz w:val="32"/>
          <w:szCs w:val="32"/>
          <w:lang w:eastAsia="zh-CN"/>
        </w:rPr>
        <w:t>，较上年减少</w:t>
      </w:r>
      <w:r>
        <w:rPr>
          <w:rFonts w:hint="eastAsia" w:ascii="仿宋_GB2312"/>
          <w:sz w:val="32"/>
          <w:szCs w:val="32"/>
          <w:lang w:val="en-US" w:eastAsia="zh-CN"/>
        </w:rPr>
        <w:t>52.32</w:t>
      </w:r>
      <w:r>
        <w:rPr>
          <w:rFonts w:hint="eastAsia" w:ascii="仿宋_GB2312"/>
          <w:sz w:val="32"/>
          <w:szCs w:val="32"/>
          <w:lang w:val="en" w:eastAsia="zh-CN"/>
        </w:rPr>
        <w:t>万元，</w:t>
      </w:r>
      <w:r>
        <w:rPr>
          <w:rFonts w:hint="eastAsia" w:ascii="仿宋_GB2312"/>
          <w:sz w:val="32"/>
          <w:szCs w:val="32"/>
          <w:lang w:eastAsia="zh-CN"/>
        </w:rPr>
        <w:t>下降</w:t>
      </w:r>
      <w:r>
        <w:rPr>
          <w:rFonts w:hint="eastAsia" w:ascii="仿宋_GB2312"/>
          <w:sz w:val="32"/>
          <w:szCs w:val="32"/>
          <w:lang w:val="en-US" w:eastAsia="zh-CN"/>
        </w:rPr>
        <w:t>3.4%，主要原因是人员调动，工资总额减少，因</w:t>
      </w:r>
      <w:r>
        <w:rPr>
          <w:rFonts w:hint="eastAsia" w:ascii="仿宋_GB2312" w:hAnsi="仿宋_GB2312" w:eastAsia="仿宋_GB2312" w:cs="仿宋_GB2312"/>
          <w:color w:val="auto"/>
          <w:sz w:val="32"/>
          <w:szCs w:val="32"/>
          <w:highlight w:val="none"/>
          <w:lang w:val="en-US" w:eastAsia="zh-CN"/>
        </w:rPr>
        <w:t>此通过一般公共预算收入安排的预算经费相应减少</w:t>
      </w:r>
      <w:r>
        <w:rPr>
          <w:rFonts w:hint="eastAsia" w:ascii="仿宋_GB2312"/>
          <w:sz w:val="32"/>
          <w:szCs w:val="32"/>
          <w:lang w:val="en-US" w:eastAsia="zh-CN"/>
        </w:rPr>
        <w:t>。单位收入主要包括：</w:t>
      </w:r>
      <w:r>
        <w:rPr>
          <w:rFonts w:hint="eastAsia" w:ascii="仿宋_GB2312" w:hAnsi="宋体" w:eastAsia="仿宋_GB2312" w:cs="Times New Roman"/>
          <w:color w:val="auto"/>
          <w:szCs w:val="32"/>
          <w:highlight w:val="none"/>
          <w:lang w:val="en-US" w:eastAsia="zh-CN"/>
        </w:rPr>
        <w:t>一般公共预算收入</w:t>
      </w:r>
      <w:r>
        <w:rPr>
          <w:rFonts w:hint="eastAsia" w:ascii="仿宋_GB2312"/>
          <w:sz w:val="32"/>
          <w:szCs w:val="32"/>
          <w:lang w:val="en-US" w:eastAsia="zh-CN"/>
        </w:rPr>
        <w:t>1488.05</w:t>
      </w:r>
      <w:r>
        <w:rPr>
          <w:rFonts w:hint="eastAsia" w:ascii="仿宋_GB2312" w:hAnsi="宋体" w:cs="Times New Roman"/>
          <w:color w:val="auto"/>
          <w:szCs w:val="32"/>
          <w:highlight w:val="none"/>
          <w:lang w:val="en-US" w:eastAsia="zh-CN"/>
        </w:rPr>
        <w:t>万元，占收入总预算的100%。</w:t>
      </w:r>
    </w:p>
    <w:p>
      <w:pPr>
        <w:tabs>
          <w:tab w:val="center" w:pos="4475"/>
        </w:tabs>
        <w:spacing w:line="560" w:lineRule="exact"/>
        <w:ind w:firstLine="645"/>
        <w:rPr>
          <w:rFonts w:hint="eastAsia" w:ascii="黑体" w:eastAsia="黑体"/>
          <w:szCs w:val="32"/>
        </w:rPr>
      </w:pPr>
      <w:r>
        <w:rPr>
          <w:rFonts w:hint="eastAsia" w:ascii="黑体" w:eastAsia="黑体"/>
          <w:szCs w:val="32"/>
        </w:rPr>
        <w:t>三、单位</w:t>
      </w:r>
      <w:r>
        <w:rPr>
          <w:rFonts w:hint="eastAsia" w:ascii="黑体" w:eastAsia="黑体"/>
          <w:szCs w:val="32"/>
          <w:lang w:eastAsia="zh-CN"/>
        </w:rPr>
        <w:t>预算</w:t>
      </w:r>
      <w:r>
        <w:rPr>
          <w:rFonts w:hint="eastAsia" w:ascii="黑体" w:eastAsia="黑体"/>
          <w:szCs w:val="32"/>
        </w:rPr>
        <w:t>支出总体情况说明</w:t>
      </w:r>
    </w:p>
    <w:p>
      <w:pPr>
        <w:spacing w:line="360" w:lineRule="auto"/>
        <w:ind w:firstLine="640" w:firstLineChars="200"/>
        <w:rPr>
          <w:rFonts w:hint="eastAsia" w:ascii="仿宋_GB2312" w:hAnsi="宋体" w:eastAsia="仿宋_GB2312"/>
          <w:color w:val="auto"/>
          <w:sz w:val="32"/>
          <w:szCs w:val="32"/>
        </w:rPr>
      </w:pPr>
      <w:r>
        <w:rPr>
          <w:rFonts w:hint="eastAsia" w:ascii="仿宋_GB2312" w:hAnsi="宋体" w:eastAsia="仿宋_GB2312" w:cs="Times New Roman"/>
          <w:szCs w:val="32"/>
          <w:highlight w:val="none"/>
          <w:lang w:eastAsia="zh-CN"/>
        </w:rPr>
        <w:t>我</w:t>
      </w:r>
      <w:r>
        <w:rPr>
          <w:rFonts w:hint="eastAsia" w:ascii="仿宋_GB2312" w:hAnsi="宋体" w:cs="Times New Roman"/>
          <w:szCs w:val="32"/>
          <w:highlight w:val="none"/>
          <w:lang w:eastAsia="zh-CN"/>
        </w:rPr>
        <w:t>单位</w:t>
      </w:r>
      <w:r>
        <w:rPr>
          <w:rFonts w:hint="eastAsia" w:ascii="仿宋_GB2312" w:eastAsia="仿宋_GB2312"/>
          <w:sz w:val="32"/>
          <w:szCs w:val="32"/>
        </w:rPr>
        <w:t>总</w:t>
      </w:r>
      <w:r>
        <w:rPr>
          <w:rFonts w:hint="eastAsia" w:ascii="仿宋_GB2312"/>
          <w:sz w:val="32"/>
          <w:szCs w:val="32"/>
          <w:lang w:eastAsia="zh-CN"/>
        </w:rPr>
        <w:t>支出</w:t>
      </w:r>
      <w:r>
        <w:rPr>
          <w:rFonts w:hint="eastAsia" w:ascii="仿宋_GB2312"/>
          <w:sz w:val="32"/>
          <w:szCs w:val="32"/>
          <w:lang w:val="en-US" w:eastAsia="zh-CN"/>
        </w:rPr>
        <w:t>1488.05</w:t>
      </w:r>
      <w:r>
        <w:rPr>
          <w:rFonts w:hint="eastAsia" w:ascii="仿宋_GB2312" w:eastAsia="仿宋_GB2312"/>
          <w:sz w:val="32"/>
          <w:szCs w:val="32"/>
        </w:rPr>
        <w:t>万元</w:t>
      </w:r>
      <w:r>
        <w:rPr>
          <w:rFonts w:hint="eastAsia" w:ascii="仿宋_GB2312"/>
          <w:sz w:val="32"/>
          <w:szCs w:val="32"/>
          <w:lang w:eastAsia="zh-CN"/>
        </w:rPr>
        <w:t>，较上年减少</w:t>
      </w:r>
      <w:r>
        <w:rPr>
          <w:rFonts w:hint="eastAsia" w:ascii="仿宋_GB2312"/>
          <w:sz w:val="32"/>
          <w:szCs w:val="32"/>
          <w:lang w:val="en-US" w:eastAsia="zh-CN"/>
        </w:rPr>
        <w:t>52.32</w:t>
      </w:r>
      <w:r>
        <w:rPr>
          <w:rFonts w:hint="eastAsia" w:ascii="仿宋_GB2312"/>
          <w:sz w:val="32"/>
          <w:szCs w:val="32"/>
          <w:lang w:val="en" w:eastAsia="zh-CN"/>
        </w:rPr>
        <w:t>万元，</w:t>
      </w:r>
      <w:r>
        <w:rPr>
          <w:rFonts w:hint="eastAsia" w:ascii="仿宋_GB2312"/>
          <w:sz w:val="32"/>
          <w:szCs w:val="32"/>
          <w:lang w:eastAsia="zh-CN"/>
        </w:rPr>
        <w:t>下降</w:t>
      </w:r>
      <w:r>
        <w:rPr>
          <w:rFonts w:hint="eastAsia" w:ascii="仿宋_GB2312"/>
          <w:sz w:val="32"/>
          <w:szCs w:val="32"/>
          <w:lang w:val="en-US" w:eastAsia="zh-CN"/>
        </w:rPr>
        <w:t>3.4%，主要原因是人员调动，工资总额减少。单位支出主要包括：</w:t>
      </w:r>
      <w:r>
        <w:rPr>
          <w:rFonts w:hint="eastAsia" w:ascii="仿宋_GB2312" w:hAnsi="宋体" w:eastAsia="仿宋_GB2312"/>
          <w:sz w:val="32"/>
          <w:szCs w:val="32"/>
        </w:rPr>
        <w:t>基本支出</w:t>
      </w:r>
      <w:r>
        <w:rPr>
          <w:rFonts w:hint="eastAsia" w:ascii="仿宋_GB2312" w:hAnsi="宋体"/>
          <w:sz w:val="32"/>
          <w:szCs w:val="32"/>
          <w:lang w:val="en-US" w:eastAsia="zh-CN"/>
        </w:rPr>
        <w:t>1067.21</w:t>
      </w:r>
      <w:r>
        <w:rPr>
          <w:rFonts w:hint="eastAsia" w:ascii="仿宋_GB2312" w:hAnsi="宋体" w:eastAsia="仿宋_GB2312"/>
          <w:sz w:val="32"/>
          <w:szCs w:val="32"/>
        </w:rPr>
        <w:t>万元，占支出总预算</w:t>
      </w:r>
      <w:r>
        <w:rPr>
          <w:rFonts w:hint="eastAsia" w:ascii="仿宋_GB2312" w:hAnsi="宋体"/>
          <w:sz w:val="32"/>
          <w:szCs w:val="32"/>
          <w:lang w:val="en-US" w:eastAsia="zh-CN"/>
        </w:rPr>
        <w:t>71.72</w:t>
      </w:r>
      <w:r>
        <w:rPr>
          <w:rFonts w:hint="eastAsia" w:ascii="仿宋_GB2312" w:hAnsi="宋体" w:eastAsia="仿宋_GB2312"/>
          <w:sz w:val="32"/>
          <w:szCs w:val="32"/>
        </w:rPr>
        <w:t>%；项目支出</w:t>
      </w:r>
      <w:r>
        <w:rPr>
          <w:rFonts w:hint="eastAsia" w:ascii="仿宋_GB2312" w:hAnsi="宋体"/>
          <w:sz w:val="32"/>
          <w:szCs w:val="32"/>
          <w:lang w:val="en-US" w:eastAsia="zh-CN"/>
        </w:rPr>
        <w:t>420.84</w:t>
      </w:r>
      <w:r>
        <w:rPr>
          <w:rFonts w:hint="eastAsia" w:ascii="仿宋_GB2312" w:hAnsi="宋体" w:eastAsia="仿宋_GB2312"/>
          <w:sz w:val="32"/>
          <w:szCs w:val="32"/>
        </w:rPr>
        <w:t>万元，占支出总预算的</w:t>
      </w:r>
      <w:r>
        <w:rPr>
          <w:rFonts w:hint="eastAsia" w:ascii="仿宋_GB2312" w:hAnsi="宋体"/>
          <w:color w:val="auto"/>
          <w:sz w:val="32"/>
          <w:szCs w:val="32"/>
          <w:lang w:val="en-US" w:eastAsia="zh-CN"/>
        </w:rPr>
        <w:t>28.28</w:t>
      </w:r>
      <w:r>
        <w:rPr>
          <w:rFonts w:hint="eastAsia" w:ascii="仿宋_GB2312" w:hAnsi="宋体" w:eastAsia="仿宋_GB2312"/>
          <w:color w:val="auto"/>
          <w:sz w:val="32"/>
          <w:szCs w:val="32"/>
        </w:rPr>
        <w:t>%。</w:t>
      </w:r>
    </w:p>
    <w:p>
      <w:pPr>
        <w:numPr>
          <w:ilvl w:val="0"/>
          <w:numId w:val="2"/>
        </w:numPr>
        <w:spacing w:line="360" w:lineRule="auto"/>
        <w:ind w:firstLine="642" w:firstLineChars="200"/>
        <w:rPr>
          <w:rFonts w:hint="eastAsia" w:ascii="仿宋_GB2312" w:hAnsi="宋体" w:eastAsia="仿宋_GB2312"/>
          <w:b/>
          <w:bCs w:val="0"/>
          <w:color w:val="auto"/>
          <w:sz w:val="32"/>
          <w:szCs w:val="32"/>
          <w:highlight w:val="none"/>
        </w:rPr>
      </w:pPr>
      <w:r>
        <w:rPr>
          <w:rFonts w:hint="eastAsia" w:ascii="仿宋_GB2312" w:hAnsi="宋体" w:eastAsia="仿宋_GB2312"/>
          <w:b/>
          <w:bCs w:val="0"/>
          <w:color w:val="auto"/>
          <w:sz w:val="32"/>
          <w:szCs w:val="32"/>
          <w:highlight w:val="none"/>
        </w:rPr>
        <w:t>按支出功能科目划分，共分为</w:t>
      </w:r>
      <w:r>
        <w:rPr>
          <w:rFonts w:hint="eastAsia" w:ascii="仿宋_GB2312" w:hAnsi="宋体"/>
          <w:b/>
          <w:bCs w:val="0"/>
          <w:color w:val="auto"/>
          <w:sz w:val="32"/>
          <w:szCs w:val="32"/>
          <w:highlight w:val="none"/>
          <w:lang w:val="en-US" w:eastAsia="zh-CN"/>
        </w:rPr>
        <w:t>7</w:t>
      </w:r>
      <w:r>
        <w:rPr>
          <w:rFonts w:hint="eastAsia" w:ascii="仿宋_GB2312" w:hAnsi="宋体"/>
          <w:b/>
          <w:bCs w:val="0"/>
          <w:color w:val="auto"/>
          <w:sz w:val="32"/>
          <w:szCs w:val="32"/>
          <w:highlight w:val="none"/>
          <w:lang w:eastAsia="zh-CN"/>
        </w:rPr>
        <w:t>项</w:t>
      </w:r>
      <w:r>
        <w:rPr>
          <w:rFonts w:hint="eastAsia" w:ascii="仿宋_GB2312" w:hAnsi="宋体" w:eastAsia="仿宋_GB2312"/>
          <w:b/>
          <w:bCs w:val="0"/>
          <w:color w:val="auto"/>
          <w:sz w:val="32"/>
          <w:szCs w:val="32"/>
          <w:highlight w:val="none"/>
        </w:rPr>
        <w:t>，其中：</w:t>
      </w:r>
    </w:p>
    <w:p>
      <w:pPr>
        <w:tabs>
          <w:tab w:val="center" w:pos="4475"/>
        </w:tabs>
        <w:spacing w:line="560" w:lineRule="exact"/>
        <w:ind w:firstLine="645"/>
        <w:rPr>
          <w:rFonts w:hint="eastAsia" w:ascii="仿宋_GB2312" w:hAnsi="Times New Roman" w:eastAsia="仿宋_GB2312" w:cs="Times New Roman"/>
          <w:color w:val="auto"/>
          <w:sz w:val="32"/>
          <w:szCs w:val="32"/>
          <w:highlight w:val="none"/>
          <w:lang w:val="en-US" w:eastAsia="zh-CN"/>
        </w:rPr>
      </w:pPr>
      <w:r>
        <w:rPr>
          <w:rFonts w:hint="eastAsia" w:ascii="仿宋_GB2312" w:hAnsi="Times New Roman" w:cs="Times New Roman"/>
          <w:color w:val="auto"/>
          <w:sz w:val="32"/>
          <w:szCs w:val="32"/>
          <w:highlight w:val="none"/>
          <w:lang w:val="en-US" w:eastAsia="zh-CN"/>
        </w:rPr>
        <w:t>1.</w:t>
      </w:r>
      <w:r>
        <w:rPr>
          <w:rFonts w:hint="eastAsia" w:ascii="仿宋_GB2312" w:hAnsi="Times New Roman" w:eastAsia="仿宋_GB2312" w:cs="Times New Roman"/>
          <w:color w:val="auto"/>
          <w:sz w:val="32"/>
          <w:szCs w:val="32"/>
          <w:highlight w:val="none"/>
          <w:lang w:val="en-US" w:eastAsia="zh-CN"/>
        </w:rPr>
        <w:t>事业运行</w:t>
      </w:r>
      <w:r>
        <w:rPr>
          <w:rFonts w:hint="eastAsia" w:ascii="仿宋_GB2312" w:cs="Times New Roman"/>
          <w:color w:val="auto"/>
          <w:sz w:val="32"/>
          <w:szCs w:val="32"/>
          <w:highlight w:val="none"/>
          <w:lang w:val="en-US" w:eastAsia="zh-CN"/>
        </w:rPr>
        <w:t>科目支出869.81</w:t>
      </w:r>
      <w:r>
        <w:rPr>
          <w:rFonts w:hint="eastAsia" w:ascii="仿宋_GB2312" w:hAnsi="Times New Roman" w:eastAsia="仿宋_GB2312" w:cs="Times New Roman"/>
          <w:color w:val="auto"/>
          <w:sz w:val="32"/>
          <w:szCs w:val="32"/>
          <w:highlight w:val="none"/>
          <w:lang w:val="en-US" w:eastAsia="zh-CN"/>
        </w:rPr>
        <w:t>万元，</w:t>
      </w:r>
      <w:r>
        <w:rPr>
          <w:rFonts w:hint="eastAsia" w:ascii="仿宋_GB2312" w:cs="Times New Roman"/>
          <w:color w:val="auto"/>
          <w:sz w:val="32"/>
          <w:szCs w:val="32"/>
          <w:highlight w:val="none"/>
          <w:lang w:val="en-US" w:eastAsia="zh-CN"/>
        </w:rPr>
        <w:t>占支出总预算58.45%，</w:t>
      </w:r>
      <w:r>
        <w:rPr>
          <w:rFonts w:hint="eastAsia" w:ascii="仿宋_GB2312" w:hAnsi="Times New Roman" w:eastAsia="仿宋_GB2312" w:cs="Times New Roman"/>
          <w:color w:val="auto"/>
          <w:sz w:val="32"/>
          <w:szCs w:val="32"/>
          <w:highlight w:val="none"/>
          <w:lang w:val="en-US" w:eastAsia="zh-CN"/>
        </w:rPr>
        <w:t>同比</w:t>
      </w:r>
      <w:r>
        <w:rPr>
          <w:rFonts w:hint="eastAsia" w:ascii="仿宋_GB2312" w:cs="Times New Roman"/>
          <w:color w:val="auto"/>
          <w:sz w:val="32"/>
          <w:szCs w:val="32"/>
          <w:highlight w:val="none"/>
          <w:lang w:val="en-US" w:eastAsia="zh-CN"/>
        </w:rPr>
        <w:t>减少104.38</w:t>
      </w:r>
      <w:r>
        <w:rPr>
          <w:rFonts w:hint="eastAsia" w:ascii="仿宋_GB2312" w:hAnsi="Times New Roman" w:eastAsia="仿宋_GB2312" w:cs="Times New Roman"/>
          <w:color w:val="auto"/>
          <w:sz w:val="32"/>
          <w:szCs w:val="32"/>
          <w:highlight w:val="none"/>
          <w:lang w:val="en-US" w:eastAsia="zh-CN"/>
        </w:rPr>
        <w:t>万元，</w:t>
      </w:r>
      <w:r>
        <w:rPr>
          <w:rFonts w:hint="eastAsia" w:ascii="仿宋_GB2312" w:hAnsi="宋体" w:eastAsia="仿宋_GB2312"/>
          <w:color w:val="auto"/>
          <w:sz w:val="32"/>
          <w:szCs w:val="32"/>
          <w:lang w:val="en" w:eastAsia="zh-CN"/>
        </w:rPr>
        <w:t>下降</w:t>
      </w:r>
      <w:r>
        <w:rPr>
          <w:rFonts w:hint="eastAsia" w:ascii="仿宋_GB2312" w:cs="Times New Roman"/>
          <w:color w:val="auto"/>
          <w:sz w:val="32"/>
          <w:szCs w:val="32"/>
          <w:highlight w:val="none"/>
          <w:lang w:val="en-US" w:eastAsia="zh-CN"/>
        </w:rPr>
        <w:t>10.71</w:t>
      </w:r>
      <w:r>
        <w:rPr>
          <w:rFonts w:hint="eastAsia" w:ascii="仿宋_GB2312" w:hAnsi="Times New Roman" w:eastAsia="仿宋_GB2312" w:cs="Times New Roman"/>
          <w:color w:val="auto"/>
          <w:sz w:val="32"/>
          <w:szCs w:val="32"/>
          <w:highlight w:val="none"/>
          <w:lang w:val="en-US" w:eastAsia="zh-CN"/>
        </w:rPr>
        <w:t>％</w:t>
      </w:r>
      <w:r>
        <w:rPr>
          <w:rFonts w:hint="eastAsia" w:ascii="仿宋_GB2312" w:cs="Times New Roman"/>
          <w:color w:val="auto"/>
          <w:sz w:val="32"/>
          <w:szCs w:val="32"/>
          <w:highlight w:val="none"/>
          <w:lang w:val="en-US" w:eastAsia="zh-CN"/>
        </w:rPr>
        <w:t>。</w:t>
      </w:r>
    </w:p>
    <w:p>
      <w:pPr>
        <w:tabs>
          <w:tab w:val="center" w:pos="4475"/>
        </w:tabs>
        <w:spacing w:line="560" w:lineRule="exact"/>
        <w:ind w:firstLine="645"/>
        <w:rPr>
          <w:rFonts w:hint="eastAsia" w:ascii="仿宋_GB2312" w:hAnsi="Times New Roman" w:eastAsia="仿宋_GB2312" w:cs="Times New Roman"/>
          <w:color w:val="auto"/>
          <w:sz w:val="32"/>
          <w:szCs w:val="32"/>
          <w:highlight w:val="none"/>
          <w:lang w:val="en-US" w:eastAsia="zh-CN"/>
        </w:rPr>
      </w:pPr>
      <w:r>
        <w:rPr>
          <w:rFonts w:hint="eastAsia" w:ascii="仿宋_GB2312" w:hAnsi="Times New Roman" w:cs="Times New Roman"/>
          <w:color w:val="auto"/>
          <w:sz w:val="32"/>
          <w:szCs w:val="32"/>
          <w:highlight w:val="none"/>
          <w:lang w:val="en-US" w:eastAsia="zh-CN"/>
        </w:rPr>
        <w:t>2.</w:t>
      </w:r>
      <w:r>
        <w:rPr>
          <w:rFonts w:hint="default" w:ascii="仿宋_GB2312" w:hAnsi="Times New Roman" w:eastAsia="仿宋_GB2312" w:cs="Times New Roman"/>
          <w:color w:val="auto"/>
          <w:sz w:val="32"/>
          <w:szCs w:val="32"/>
          <w:highlight w:val="none"/>
          <w:lang w:val="en-US" w:eastAsia="zh-CN"/>
        </w:rPr>
        <w:t>其他公安支出</w:t>
      </w:r>
      <w:r>
        <w:rPr>
          <w:rFonts w:hint="eastAsia" w:ascii="仿宋_GB2312" w:cs="Times New Roman"/>
          <w:color w:val="auto"/>
          <w:sz w:val="32"/>
          <w:szCs w:val="32"/>
          <w:highlight w:val="none"/>
          <w:lang w:val="en-US" w:eastAsia="zh-CN"/>
        </w:rPr>
        <w:t>科目支出420.84</w:t>
      </w:r>
      <w:r>
        <w:rPr>
          <w:rFonts w:hint="eastAsia" w:ascii="仿宋_GB2312" w:hAnsi="Times New Roman" w:eastAsia="仿宋_GB2312" w:cs="Times New Roman"/>
          <w:color w:val="auto"/>
          <w:sz w:val="32"/>
          <w:szCs w:val="32"/>
          <w:highlight w:val="none"/>
          <w:lang w:val="en-US" w:eastAsia="zh-CN"/>
        </w:rPr>
        <w:t>万元，</w:t>
      </w:r>
      <w:r>
        <w:rPr>
          <w:rFonts w:hint="eastAsia" w:ascii="仿宋_GB2312" w:cs="Times New Roman"/>
          <w:color w:val="auto"/>
          <w:sz w:val="32"/>
          <w:szCs w:val="32"/>
          <w:highlight w:val="none"/>
          <w:lang w:val="en-US" w:eastAsia="zh-CN"/>
        </w:rPr>
        <w:t>占支出总预算28.28%，</w:t>
      </w:r>
      <w:r>
        <w:rPr>
          <w:rFonts w:hint="eastAsia" w:ascii="仿宋_GB2312" w:hAnsi="Times New Roman" w:eastAsia="仿宋_GB2312" w:cs="Times New Roman"/>
          <w:color w:val="auto"/>
          <w:sz w:val="32"/>
          <w:szCs w:val="32"/>
          <w:highlight w:val="none"/>
          <w:lang w:val="en-US" w:eastAsia="zh-CN"/>
        </w:rPr>
        <w:t>同比减少</w:t>
      </w:r>
      <w:r>
        <w:rPr>
          <w:rFonts w:hint="eastAsia" w:ascii="仿宋_GB2312" w:cs="Times New Roman"/>
          <w:color w:val="auto"/>
          <w:sz w:val="32"/>
          <w:szCs w:val="32"/>
          <w:highlight w:val="none"/>
          <w:lang w:val="en-US" w:eastAsia="zh-CN"/>
        </w:rPr>
        <w:t>9.61</w:t>
      </w:r>
      <w:r>
        <w:rPr>
          <w:rFonts w:hint="eastAsia" w:ascii="仿宋_GB2312" w:hAnsi="Times New Roman" w:eastAsia="仿宋_GB2312" w:cs="Times New Roman"/>
          <w:color w:val="auto"/>
          <w:sz w:val="32"/>
          <w:szCs w:val="32"/>
          <w:highlight w:val="none"/>
          <w:lang w:val="en-US" w:eastAsia="zh-CN"/>
        </w:rPr>
        <w:t>万元，</w:t>
      </w:r>
      <w:r>
        <w:rPr>
          <w:rFonts w:hint="eastAsia" w:ascii="仿宋_GB2312" w:hAnsi="宋体" w:eastAsia="仿宋_GB2312"/>
          <w:color w:val="auto"/>
          <w:sz w:val="32"/>
          <w:szCs w:val="32"/>
          <w:lang w:val="en" w:eastAsia="zh-CN"/>
        </w:rPr>
        <w:t>下降</w:t>
      </w:r>
      <w:r>
        <w:rPr>
          <w:rFonts w:hint="eastAsia" w:ascii="仿宋_GB2312" w:cs="Times New Roman"/>
          <w:color w:val="auto"/>
          <w:sz w:val="32"/>
          <w:szCs w:val="32"/>
          <w:highlight w:val="none"/>
          <w:lang w:val="en-US" w:eastAsia="zh-CN"/>
        </w:rPr>
        <w:t>2.23</w:t>
      </w:r>
      <w:r>
        <w:rPr>
          <w:rFonts w:hint="eastAsia" w:ascii="仿宋_GB2312" w:hAnsi="Times New Roman" w:eastAsia="仿宋_GB2312" w:cs="Times New Roman"/>
          <w:color w:val="auto"/>
          <w:sz w:val="32"/>
          <w:szCs w:val="32"/>
          <w:highlight w:val="none"/>
          <w:lang w:val="en-US" w:eastAsia="zh-CN"/>
        </w:rPr>
        <w:t>％</w:t>
      </w:r>
      <w:r>
        <w:rPr>
          <w:rFonts w:hint="eastAsia" w:ascii="仿宋_GB2312" w:cs="Times New Roman"/>
          <w:color w:val="auto"/>
          <w:sz w:val="32"/>
          <w:szCs w:val="32"/>
          <w:highlight w:val="none"/>
          <w:lang w:val="en-US" w:eastAsia="zh-CN"/>
        </w:rPr>
        <w:t>。</w:t>
      </w:r>
    </w:p>
    <w:p>
      <w:pPr>
        <w:tabs>
          <w:tab w:val="center" w:pos="4475"/>
        </w:tabs>
        <w:spacing w:line="560" w:lineRule="exact"/>
        <w:ind w:firstLine="645"/>
        <w:rPr>
          <w:rFonts w:hint="eastAsia" w:ascii="仿宋_GB2312" w:cs="Times New Roman"/>
          <w:color w:val="auto"/>
          <w:sz w:val="32"/>
          <w:szCs w:val="32"/>
          <w:highlight w:val="none"/>
          <w:lang w:val="en-US" w:eastAsia="zh-CN"/>
        </w:rPr>
      </w:pPr>
      <w:r>
        <w:rPr>
          <w:rFonts w:hint="eastAsia" w:ascii="仿宋_GB2312" w:hAnsi="Times New Roman" w:cs="Times New Roman"/>
          <w:color w:val="auto"/>
          <w:sz w:val="32"/>
          <w:szCs w:val="32"/>
          <w:highlight w:val="none"/>
          <w:lang w:val="en-US" w:eastAsia="zh-CN"/>
        </w:rPr>
        <w:t>3.</w:t>
      </w:r>
      <w:r>
        <w:rPr>
          <w:rFonts w:hint="default" w:ascii="仿宋_GB2312" w:hAnsi="Times New Roman" w:eastAsia="仿宋_GB2312" w:cs="Times New Roman"/>
          <w:color w:val="auto"/>
          <w:sz w:val="32"/>
          <w:szCs w:val="32"/>
          <w:highlight w:val="none"/>
          <w:lang w:val="en-US" w:eastAsia="zh-CN"/>
        </w:rPr>
        <w:t>事业单位离退休</w:t>
      </w:r>
      <w:r>
        <w:rPr>
          <w:rFonts w:hint="eastAsia" w:ascii="仿宋_GB2312" w:cs="Times New Roman"/>
          <w:color w:val="auto"/>
          <w:sz w:val="32"/>
          <w:szCs w:val="32"/>
          <w:highlight w:val="none"/>
          <w:lang w:val="en-US" w:eastAsia="zh-CN"/>
        </w:rPr>
        <w:t>科目支出23</w:t>
      </w:r>
      <w:r>
        <w:rPr>
          <w:rFonts w:hint="eastAsia" w:ascii="仿宋_GB2312" w:hAnsi="Times New Roman" w:eastAsia="仿宋_GB2312" w:cs="Times New Roman"/>
          <w:color w:val="auto"/>
          <w:sz w:val="32"/>
          <w:szCs w:val="32"/>
          <w:highlight w:val="none"/>
          <w:lang w:val="en-US" w:eastAsia="zh-CN"/>
        </w:rPr>
        <w:t>万元，</w:t>
      </w:r>
      <w:r>
        <w:rPr>
          <w:rFonts w:hint="eastAsia" w:ascii="仿宋_GB2312" w:cs="Times New Roman"/>
          <w:color w:val="auto"/>
          <w:sz w:val="32"/>
          <w:szCs w:val="32"/>
          <w:highlight w:val="none"/>
          <w:lang w:val="en-US" w:eastAsia="zh-CN"/>
        </w:rPr>
        <w:t>占支出总预算1.55%，</w:t>
      </w:r>
      <w:r>
        <w:rPr>
          <w:rFonts w:hint="eastAsia" w:ascii="仿宋_GB2312" w:hAnsi="Times New Roman" w:eastAsia="仿宋_GB2312" w:cs="Times New Roman"/>
          <w:color w:val="auto"/>
          <w:sz w:val="32"/>
          <w:szCs w:val="32"/>
          <w:highlight w:val="none"/>
          <w:lang w:val="en-US" w:eastAsia="zh-CN"/>
        </w:rPr>
        <w:t>同比</w:t>
      </w:r>
      <w:r>
        <w:rPr>
          <w:rFonts w:hint="eastAsia" w:ascii="仿宋_GB2312" w:cs="Times New Roman"/>
          <w:color w:val="auto"/>
          <w:sz w:val="32"/>
          <w:szCs w:val="32"/>
          <w:highlight w:val="none"/>
          <w:lang w:val="en-US" w:eastAsia="zh-CN"/>
        </w:rPr>
        <w:t>增加1.83</w:t>
      </w:r>
      <w:r>
        <w:rPr>
          <w:rFonts w:hint="eastAsia" w:ascii="仿宋_GB2312" w:hAnsi="Times New Roman" w:eastAsia="仿宋_GB2312" w:cs="Times New Roman"/>
          <w:color w:val="auto"/>
          <w:sz w:val="32"/>
          <w:szCs w:val="32"/>
          <w:highlight w:val="none"/>
          <w:lang w:val="en-US" w:eastAsia="zh-CN"/>
        </w:rPr>
        <w:t>万元，</w:t>
      </w:r>
      <w:r>
        <w:rPr>
          <w:rFonts w:hint="eastAsia" w:ascii="仿宋_GB2312" w:hAnsi="宋体"/>
          <w:color w:val="auto"/>
          <w:sz w:val="32"/>
          <w:szCs w:val="32"/>
          <w:lang w:val="en" w:eastAsia="zh-CN"/>
        </w:rPr>
        <w:t>增长</w:t>
      </w:r>
      <w:r>
        <w:rPr>
          <w:rFonts w:hint="eastAsia" w:ascii="仿宋_GB2312" w:hAnsi="宋体"/>
          <w:color w:val="auto"/>
          <w:sz w:val="32"/>
          <w:szCs w:val="32"/>
          <w:lang w:val="en-US" w:eastAsia="zh-CN"/>
        </w:rPr>
        <w:t>8.64</w:t>
      </w:r>
      <w:r>
        <w:rPr>
          <w:rFonts w:hint="eastAsia" w:ascii="仿宋_GB2312" w:hAnsi="Times New Roman" w:eastAsia="仿宋_GB2312" w:cs="Times New Roman"/>
          <w:color w:val="auto"/>
          <w:sz w:val="32"/>
          <w:szCs w:val="32"/>
          <w:highlight w:val="none"/>
          <w:lang w:val="en-US" w:eastAsia="zh-CN"/>
        </w:rPr>
        <w:t>％</w:t>
      </w:r>
      <w:r>
        <w:rPr>
          <w:rFonts w:hint="eastAsia" w:ascii="仿宋_GB2312" w:cs="Times New Roman"/>
          <w:color w:val="auto"/>
          <w:sz w:val="32"/>
          <w:szCs w:val="32"/>
          <w:highlight w:val="none"/>
          <w:lang w:val="en-US" w:eastAsia="zh-CN"/>
        </w:rPr>
        <w:t>。</w:t>
      </w:r>
    </w:p>
    <w:p>
      <w:pPr>
        <w:tabs>
          <w:tab w:val="center" w:pos="4475"/>
        </w:tabs>
        <w:spacing w:line="560" w:lineRule="exact"/>
        <w:ind w:firstLine="645"/>
        <w:rPr>
          <w:rFonts w:hint="default" w:ascii="仿宋_GB2312" w:hAnsi="Times New Roman" w:eastAsia="仿宋_GB2312" w:cs="Times New Roman"/>
          <w:color w:val="auto"/>
          <w:sz w:val="32"/>
          <w:szCs w:val="32"/>
          <w:highlight w:val="none"/>
          <w:lang w:val="en-US" w:eastAsia="zh-CN"/>
        </w:rPr>
      </w:pPr>
      <w:r>
        <w:rPr>
          <w:rFonts w:hint="eastAsia" w:ascii="仿宋_GB2312" w:hAnsi="Times New Roman" w:cs="Times New Roman"/>
          <w:color w:val="auto"/>
          <w:sz w:val="32"/>
          <w:szCs w:val="32"/>
          <w:highlight w:val="none"/>
          <w:lang w:val="en-US" w:eastAsia="zh-CN"/>
        </w:rPr>
        <w:t>4.</w:t>
      </w:r>
      <w:r>
        <w:rPr>
          <w:rFonts w:hint="default" w:ascii="仿宋_GB2312" w:hAnsi="Times New Roman" w:eastAsia="仿宋_GB2312" w:cs="Times New Roman"/>
          <w:color w:val="auto"/>
          <w:sz w:val="32"/>
          <w:szCs w:val="32"/>
          <w:highlight w:val="none"/>
          <w:lang w:val="en-US" w:eastAsia="zh-CN"/>
        </w:rPr>
        <w:t>机关事业单位基本养老保险缴费支出</w:t>
      </w:r>
      <w:r>
        <w:rPr>
          <w:rFonts w:hint="eastAsia" w:ascii="仿宋_GB2312" w:cs="Times New Roman"/>
          <w:color w:val="auto"/>
          <w:sz w:val="32"/>
          <w:szCs w:val="32"/>
          <w:highlight w:val="none"/>
          <w:lang w:val="en-US" w:eastAsia="zh-CN"/>
        </w:rPr>
        <w:t>科目支出64.3</w:t>
      </w:r>
      <w:r>
        <w:rPr>
          <w:rFonts w:hint="eastAsia" w:ascii="仿宋_GB2312" w:hAnsi="Times New Roman" w:eastAsia="仿宋_GB2312" w:cs="Times New Roman"/>
          <w:color w:val="auto"/>
          <w:sz w:val="32"/>
          <w:szCs w:val="32"/>
          <w:highlight w:val="none"/>
          <w:lang w:val="en-US" w:eastAsia="zh-CN"/>
        </w:rPr>
        <w:t>万元，</w:t>
      </w:r>
      <w:r>
        <w:rPr>
          <w:rFonts w:hint="eastAsia" w:ascii="仿宋_GB2312" w:cs="Times New Roman"/>
          <w:color w:val="auto"/>
          <w:sz w:val="32"/>
          <w:szCs w:val="32"/>
          <w:highlight w:val="none"/>
          <w:lang w:val="en-US" w:eastAsia="zh-CN"/>
        </w:rPr>
        <w:t>占支出总预算4.32%，</w:t>
      </w:r>
      <w:r>
        <w:rPr>
          <w:rFonts w:hint="eastAsia" w:ascii="仿宋_GB2312" w:hAnsi="Times New Roman" w:eastAsia="仿宋_GB2312" w:cs="Times New Roman"/>
          <w:color w:val="auto"/>
          <w:sz w:val="32"/>
          <w:szCs w:val="32"/>
          <w:highlight w:val="none"/>
          <w:lang w:val="en-US" w:eastAsia="zh-CN"/>
        </w:rPr>
        <w:t>同比</w:t>
      </w:r>
      <w:r>
        <w:rPr>
          <w:rFonts w:hint="eastAsia" w:ascii="仿宋_GB2312" w:cs="Times New Roman"/>
          <w:color w:val="auto"/>
          <w:sz w:val="32"/>
          <w:szCs w:val="32"/>
          <w:highlight w:val="none"/>
          <w:lang w:val="en-US" w:eastAsia="zh-CN"/>
        </w:rPr>
        <w:t>增加22.06</w:t>
      </w:r>
      <w:r>
        <w:rPr>
          <w:rFonts w:hint="eastAsia" w:ascii="仿宋_GB2312" w:hAnsi="Times New Roman" w:eastAsia="仿宋_GB2312" w:cs="Times New Roman"/>
          <w:color w:val="auto"/>
          <w:sz w:val="32"/>
          <w:szCs w:val="32"/>
          <w:highlight w:val="none"/>
          <w:lang w:val="en-US" w:eastAsia="zh-CN"/>
        </w:rPr>
        <w:t>万元，</w:t>
      </w:r>
      <w:r>
        <w:rPr>
          <w:rFonts w:hint="eastAsia" w:ascii="仿宋_GB2312" w:hAnsi="宋体"/>
          <w:color w:val="auto"/>
          <w:sz w:val="32"/>
          <w:szCs w:val="32"/>
          <w:lang w:val="en" w:eastAsia="zh-CN"/>
        </w:rPr>
        <w:t>增长</w:t>
      </w:r>
      <w:r>
        <w:rPr>
          <w:rFonts w:hint="eastAsia" w:ascii="仿宋_GB2312" w:hAnsi="宋体"/>
          <w:color w:val="auto"/>
          <w:sz w:val="32"/>
          <w:szCs w:val="32"/>
          <w:lang w:val="en-US" w:eastAsia="zh-CN"/>
        </w:rPr>
        <w:t>52.23</w:t>
      </w:r>
      <w:r>
        <w:rPr>
          <w:rFonts w:hint="eastAsia" w:ascii="仿宋_GB2312" w:hAnsi="Times New Roman" w:eastAsia="仿宋_GB2312" w:cs="Times New Roman"/>
          <w:color w:val="auto"/>
          <w:sz w:val="32"/>
          <w:szCs w:val="32"/>
          <w:highlight w:val="none"/>
          <w:lang w:val="en-US" w:eastAsia="zh-CN"/>
        </w:rPr>
        <w:t>％</w:t>
      </w:r>
      <w:r>
        <w:rPr>
          <w:rFonts w:hint="eastAsia" w:ascii="仿宋_GB2312" w:cs="Times New Roman"/>
          <w:color w:val="auto"/>
          <w:sz w:val="32"/>
          <w:szCs w:val="32"/>
          <w:highlight w:val="none"/>
          <w:lang w:val="en-US" w:eastAsia="zh-CN"/>
        </w:rPr>
        <w:t>。</w:t>
      </w:r>
    </w:p>
    <w:p>
      <w:pPr>
        <w:tabs>
          <w:tab w:val="center" w:pos="4475"/>
        </w:tabs>
        <w:spacing w:line="560" w:lineRule="exact"/>
        <w:ind w:firstLine="645"/>
        <w:rPr>
          <w:rFonts w:hint="default" w:ascii="仿宋_GB2312" w:hAnsi="Times New Roman" w:eastAsia="仿宋_GB2312" w:cs="Times New Roman"/>
          <w:color w:val="auto"/>
          <w:sz w:val="32"/>
          <w:szCs w:val="32"/>
          <w:highlight w:val="none"/>
          <w:lang w:val="en-US" w:eastAsia="zh-CN"/>
        </w:rPr>
      </w:pPr>
      <w:r>
        <w:rPr>
          <w:rFonts w:hint="eastAsia" w:ascii="仿宋_GB2312" w:hAnsi="Times New Roman" w:cs="Times New Roman"/>
          <w:color w:val="auto"/>
          <w:sz w:val="32"/>
          <w:szCs w:val="32"/>
          <w:highlight w:val="none"/>
          <w:lang w:val="en-US" w:eastAsia="zh-CN"/>
        </w:rPr>
        <w:t>5.</w:t>
      </w:r>
      <w:r>
        <w:rPr>
          <w:rFonts w:hint="default" w:ascii="仿宋_GB2312" w:hAnsi="Times New Roman" w:eastAsia="仿宋_GB2312" w:cs="Times New Roman"/>
          <w:color w:val="auto"/>
          <w:sz w:val="32"/>
          <w:szCs w:val="32"/>
          <w:highlight w:val="none"/>
          <w:lang w:val="en-US" w:eastAsia="zh-CN"/>
        </w:rPr>
        <w:t>机关事业单位职业年金缴费支出</w:t>
      </w:r>
      <w:r>
        <w:rPr>
          <w:rFonts w:hint="eastAsia" w:ascii="仿宋_GB2312" w:cs="Times New Roman"/>
          <w:color w:val="auto"/>
          <w:sz w:val="32"/>
          <w:szCs w:val="32"/>
          <w:highlight w:val="none"/>
          <w:lang w:val="en-US" w:eastAsia="zh-CN"/>
        </w:rPr>
        <w:t>科目支出32.15</w:t>
      </w:r>
      <w:r>
        <w:rPr>
          <w:rFonts w:hint="eastAsia" w:ascii="仿宋_GB2312" w:hAnsi="Times New Roman" w:eastAsia="仿宋_GB2312" w:cs="Times New Roman"/>
          <w:color w:val="auto"/>
          <w:sz w:val="32"/>
          <w:szCs w:val="32"/>
          <w:highlight w:val="none"/>
          <w:lang w:val="en-US" w:eastAsia="zh-CN"/>
        </w:rPr>
        <w:t>万元，</w:t>
      </w:r>
      <w:r>
        <w:rPr>
          <w:rFonts w:hint="eastAsia" w:ascii="仿宋_GB2312" w:cs="Times New Roman"/>
          <w:color w:val="auto"/>
          <w:sz w:val="32"/>
          <w:szCs w:val="32"/>
          <w:highlight w:val="none"/>
          <w:lang w:val="en-US" w:eastAsia="zh-CN"/>
        </w:rPr>
        <w:t>占支出总预算2.16%，</w:t>
      </w:r>
      <w:r>
        <w:rPr>
          <w:rFonts w:hint="eastAsia" w:ascii="仿宋_GB2312" w:hAnsi="Times New Roman" w:eastAsia="仿宋_GB2312" w:cs="Times New Roman"/>
          <w:color w:val="auto"/>
          <w:sz w:val="32"/>
          <w:szCs w:val="32"/>
          <w:highlight w:val="none"/>
          <w:lang w:val="en-US" w:eastAsia="zh-CN"/>
        </w:rPr>
        <w:t>同比</w:t>
      </w:r>
      <w:r>
        <w:rPr>
          <w:rFonts w:hint="eastAsia" w:ascii="仿宋_GB2312" w:cs="Times New Roman"/>
          <w:color w:val="auto"/>
          <w:sz w:val="32"/>
          <w:szCs w:val="32"/>
          <w:highlight w:val="none"/>
          <w:lang w:val="en-US" w:eastAsia="zh-CN"/>
        </w:rPr>
        <w:t>增加11.03</w:t>
      </w:r>
      <w:r>
        <w:rPr>
          <w:rFonts w:hint="eastAsia" w:ascii="仿宋_GB2312" w:hAnsi="Times New Roman" w:eastAsia="仿宋_GB2312" w:cs="Times New Roman"/>
          <w:color w:val="auto"/>
          <w:sz w:val="32"/>
          <w:szCs w:val="32"/>
          <w:highlight w:val="none"/>
          <w:lang w:val="en-US" w:eastAsia="zh-CN"/>
        </w:rPr>
        <w:t>万元，</w:t>
      </w:r>
      <w:r>
        <w:rPr>
          <w:rFonts w:hint="eastAsia" w:ascii="仿宋_GB2312" w:hAnsi="宋体"/>
          <w:color w:val="auto"/>
          <w:sz w:val="32"/>
          <w:szCs w:val="32"/>
          <w:lang w:val="en" w:eastAsia="zh-CN"/>
        </w:rPr>
        <w:t>增长</w:t>
      </w:r>
      <w:r>
        <w:rPr>
          <w:rFonts w:hint="eastAsia" w:ascii="仿宋_GB2312" w:hAnsi="宋体"/>
          <w:color w:val="auto"/>
          <w:sz w:val="32"/>
          <w:szCs w:val="32"/>
          <w:lang w:val="en-US" w:eastAsia="zh-CN"/>
        </w:rPr>
        <w:t>52.23</w:t>
      </w:r>
      <w:r>
        <w:rPr>
          <w:rFonts w:hint="eastAsia" w:ascii="仿宋_GB2312" w:hAnsi="Times New Roman" w:eastAsia="仿宋_GB2312" w:cs="Times New Roman"/>
          <w:color w:val="auto"/>
          <w:sz w:val="32"/>
          <w:szCs w:val="32"/>
          <w:highlight w:val="none"/>
          <w:lang w:val="en-US" w:eastAsia="zh-CN"/>
        </w:rPr>
        <w:t>％</w:t>
      </w:r>
      <w:r>
        <w:rPr>
          <w:rFonts w:hint="eastAsia" w:ascii="仿宋_GB2312" w:cs="Times New Roman"/>
          <w:color w:val="auto"/>
          <w:sz w:val="32"/>
          <w:szCs w:val="32"/>
          <w:highlight w:val="none"/>
          <w:lang w:val="en-US" w:eastAsia="zh-CN"/>
        </w:rPr>
        <w:t>。</w:t>
      </w:r>
    </w:p>
    <w:p>
      <w:pPr>
        <w:tabs>
          <w:tab w:val="center" w:pos="4475"/>
        </w:tabs>
        <w:spacing w:line="560" w:lineRule="exact"/>
        <w:ind w:firstLine="645"/>
        <w:rPr>
          <w:rFonts w:hint="default" w:ascii="仿宋_GB2312" w:hAnsi="Times New Roman" w:eastAsia="仿宋_GB2312" w:cs="Times New Roman"/>
          <w:color w:val="auto"/>
          <w:sz w:val="32"/>
          <w:szCs w:val="32"/>
          <w:highlight w:val="none"/>
          <w:lang w:val="en-US" w:eastAsia="zh-CN"/>
        </w:rPr>
      </w:pPr>
      <w:r>
        <w:rPr>
          <w:rFonts w:hint="eastAsia" w:ascii="仿宋_GB2312" w:hAnsi="Times New Roman" w:cs="Times New Roman"/>
          <w:color w:val="auto"/>
          <w:sz w:val="32"/>
          <w:szCs w:val="32"/>
          <w:highlight w:val="none"/>
          <w:lang w:val="en-US" w:eastAsia="zh-CN"/>
        </w:rPr>
        <w:t>6.</w:t>
      </w:r>
      <w:r>
        <w:rPr>
          <w:rFonts w:hint="default" w:ascii="仿宋_GB2312" w:hAnsi="Times New Roman" w:eastAsia="仿宋_GB2312" w:cs="Times New Roman"/>
          <w:color w:val="auto"/>
          <w:sz w:val="32"/>
          <w:szCs w:val="32"/>
          <w:highlight w:val="none"/>
          <w:lang w:val="en-US" w:eastAsia="zh-CN"/>
        </w:rPr>
        <w:t>事业单位医疗</w:t>
      </w:r>
      <w:r>
        <w:rPr>
          <w:rFonts w:hint="eastAsia" w:ascii="仿宋_GB2312" w:cs="Times New Roman"/>
          <w:color w:val="auto"/>
          <w:sz w:val="32"/>
          <w:szCs w:val="32"/>
          <w:highlight w:val="none"/>
          <w:lang w:val="en-US" w:eastAsia="zh-CN"/>
        </w:rPr>
        <w:t>科目支出29.74</w:t>
      </w:r>
      <w:r>
        <w:rPr>
          <w:rFonts w:hint="eastAsia" w:ascii="仿宋_GB2312" w:hAnsi="Times New Roman" w:eastAsia="仿宋_GB2312" w:cs="Times New Roman"/>
          <w:color w:val="auto"/>
          <w:sz w:val="32"/>
          <w:szCs w:val="32"/>
          <w:highlight w:val="none"/>
          <w:lang w:val="en-US" w:eastAsia="zh-CN"/>
        </w:rPr>
        <w:t>万元，</w:t>
      </w:r>
      <w:r>
        <w:rPr>
          <w:rFonts w:hint="eastAsia" w:ascii="仿宋_GB2312" w:cs="Times New Roman"/>
          <w:color w:val="auto"/>
          <w:sz w:val="32"/>
          <w:szCs w:val="32"/>
          <w:highlight w:val="none"/>
          <w:lang w:val="en-US" w:eastAsia="zh-CN"/>
        </w:rPr>
        <w:t>占支出总预算2%，</w:t>
      </w:r>
      <w:r>
        <w:rPr>
          <w:rFonts w:hint="eastAsia" w:ascii="仿宋_GB2312" w:hAnsi="Times New Roman" w:eastAsia="仿宋_GB2312" w:cs="Times New Roman"/>
          <w:color w:val="auto"/>
          <w:sz w:val="32"/>
          <w:szCs w:val="32"/>
          <w:highlight w:val="none"/>
          <w:lang w:val="en-US" w:eastAsia="zh-CN"/>
        </w:rPr>
        <w:t>同比</w:t>
      </w:r>
      <w:r>
        <w:rPr>
          <w:rFonts w:hint="eastAsia" w:ascii="仿宋_GB2312" w:cs="Times New Roman"/>
          <w:color w:val="auto"/>
          <w:sz w:val="32"/>
          <w:szCs w:val="32"/>
          <w:highlight w:val="none"/>
          <w:lang w:val="en-US" w:eastAsia="zh-CN"/>
        </w:rPr>
        <w:t>增加10.2</w:t>
      </w:r>
      <w:r>
        <w:rPr>
          <w:rFonts w:hint="eastAsia" w:ascii="仿宋_GB2312" w:hAnsi="Times New Roman" w:eastAsia="仿宋_GB2312" w:cs="Times New Roman"/>
          <w:color w:val="auto"/>
          <w:sz w:val="32"/>
          <w:szCs w:val="32"/>
          <w:highlight w:val="none"/>
          <w:lang w:val="en-US" w:eastAsia="zh-CN"/>
        </w:rPr>
        <w:t>万元，</w:t>
      </w:r>
      <w:r>
        <w:rPr>
          <w:rFonts w:hint="eastAsia" w:ascii="仿宋_GB2312" w:hAnsi="宋体"/>
          <w:color w:val="auto"/>
          <w:sz w:val="32"/>
          <w:szCs w:val="32"/>
          <w:lang w:val="en" w:eastAsia="zh-CN"/>
        </w:rPr>
        <w:t>增长</w:t>
      </w:r>
      <w:r>
        <w:rPr>
          <w:rFonts w:hint="eastAsia" w:ascii="仿宋_GB2312" w:hAnsi="宋体"/>
          <w:color w:val="auto"/>
          <w:sz w:val="32"/>
          <w:szCs w:val="32"/>
          <w:lang w:val="en-US" w:eastAsia="zh-CN"/>
        </w:rPr>
        <w:t>52.23</w:t>
      </w:r>
      <w:r>
        <w:rPr>
          <w:rFonts w:hint="eastAsia" w:ascii="仿宋_GB2312" w:hAnsi="Times New Roman" w:eastAsia="仿宋_GB2312" w:cs="Times New Roman"/>
          <w:color w:val="auto"/>
          <w:sz w:val="32"/>
          <w:szCs w:val="32"/>
          <w:highlight w:val="none"/>
          <w:lang w:val="en-US" w:eastAsia="zh-CN"/>
        </w:rPr>
        <w:t>％</w:t>
      </w:r>
      <w:r>
        <w:rPr>
          <w:rFonts w:hint="eastAsia" w:ascii="仿宋_GB2312" w:cs="Times New Roman"/>
          <w:color w:val="auto"/>
          <w:sz w:val="32"/>
          <w:szCs w:val="32"/>
          <w:highlight w:val="none"/>
          <w:lang w:val="en-US" w:eastAsia="zh-CN"/>
        </w:rPr>
        <w:t>。</w:t>
      </w:r>
    </w:p>
    <w:p>
      <w:pPr>
        <w:tabs>
          <w:tab w:val="center" w:pos="4475"/>
        </w:tabs>
        <w:spacing w:line="560" w:lineRule="exact"/>
        <w:ind w:firstLine="645"/>
        <w:rPr>
          <w:rFonts w:hint="default" w:ascii="仿宋_GB2312" w:hAnsi="Times New Roman" w:eastAsia="仿宋_GB2312" w:cs="Times New Roman"/>
          <w:color w:val="auto"/>
          <w:sz w:val="32"/>
          <w:szCs w:val="32"/>
          <w:highlight w:val="none"/>
          <w:lang w:val="en-US" w:eastAsia="zh-CN"/>
        </w:rPr>
      </w:pPr>
      <w:r>
        <w:rPr>
          <w:rFonts w:hint="eastAsia" w:ascii="仿宋_GB2312" w:hAnsi="Times New Roman" w:cs="Times New Roman"/>
          <w:color w:val="auto"/>
          <w:sz w:val="32"/>
          <w:szCs w:val="32"/>
          <w:highlight w:val="none"/>
          <w:lang w:val="en-US" w:eastAsia="zh-CN"/>
        </w:rPr>
        <w:t>7.</w:t>
      </w:r>
      <w:r>
        <w:rPr>
          <w:rFonts w:hint="default" w:ascii="仿宋_GB2312" w:hAnsi="Times New Roman" w:eastAsia="仿宋_GB2312" w:cs="Times New Roman"/>
          <w:color w:val="auto"/>
          <w:sz w:val="32"/>
          <w:szCs w:val="32"/>
          <w:highlight w:val="none"/>
          <w:lang w:val="en-US" w:eastAsia="zh-CN"/>
        </w:rPr>
        <w:t>住房公积金</w:t>
      </w:r>
      <w:r>
        <w:rPr>
          <w:rFonts w:hint="eastAsia" w:ascii="仿宋_GB2312" w:cs="Times New Roman"/>
          <w:color w:val="auto"/>
          <w:sz w:val="32"/>
          <w:szCs w:val="32"/>
          <w:highlight w:val="none"/>
          <w:lang w:val="en-US" w:eastAsia="zh-CN"/>
        </w:rPr>
        <w:t>科目支出48.22</w:t>
      </w:r>
      <w:r>
        <w:rPr>
          <w:rFonts w:hint="eastAsia" w:ascii="仿宋_GB2312" w:hAnsi="Times New Roman" w:eastAsia="仿宋_GB2312" w:cs="Times New Roman"/>
          <w:color w:val="auto"/>
          <w:sz w:val="32"/>
          <w:szCs w:val="32"/>
          <w:highlight w:val="none"/>
          <w:lang w:val="en-US" w:eastAsia="zh-CN"/>
        </w:rPr>
        <w:t>万元，</w:t>
      </w:r>
      <w:r>
        <w:rPr>
          <w:rFonts w:hint="eastAsia" w:ascii="仿宋_GB2312" w:cs="Times New Roman"/>
          <w:color w:val="auto"/>
          <w:sz w:val="32"/>
          <w:szCs w:val="32"/>
          <w:highlight w:val="none"/>
          <w:lang w:val="en-US" w:eastAsia="zh-CN"/>
        </w:rPr>
        <w:t>占支出总预算3.24%，</w:t>
      </w:r>
      <w:r>
        <w:rPr>
          <w:rFonts w:hint="eastAsia" w:ascii="仿宋_GB2312" w:hAnsi="Times New Roman" w:eastAsia="仿宋_GB2312" w:cs="Times New Roman"/>
          <w:color w:val="auto"/>
          <w:sz w:val="32"/>
          <w:szCs w:val="32"/>
          <w:highlight w:val="none"/>
          <w:lang w:val="en-US" w:eastAsia="zh-CN"/>
        </w:rPr>
        <w:t>同比</w:t>
      </w:r>
      <w:r>
        <w:rPr>
          <w:rFonts w:hint="eastAsia" w:ascii="仿宋_GB2312" w:cs="Times New Roman"/>
          <w:color w:val="auto"/>
          <w:sz w:val="32"/>
          <w:szCs w:val="32"/>
          <w:highlight w:val="none"/>
          <w:lang w:val="en-US" w:eastAsia="zh-CN"/>
        </w:rPr>
        <w:t>增加16.54</w:t>
      </w:r>
      <w:r>
        <w:rPr>
          <w:rFonts w:hint="eastAsia" w:ascii="仿宋_GB2312" w:hAnsi="Times New Roman" w:eastAsia="仿宋_GB2312" w:cs="Times New Roman"/>
          <w:color w:val="auto"/>
          <w:sz w:val="32"/>
          <w:szCs w:val="32"/>
          <w:highlight w:val="none"/>
          <w:lang w:val="en-US" w:eastAsia="zh-CN"/>
        </w:rPr>
        <w:t>万元，</w:t>
      </w:r>
      <w:r>
        <w:rPr>
          <w:rFonts w:hint="eastAsia" w:ascii="仿宋_GB2312" w:hAnsi="宋体"/>
          <w:color w:val="auto"/>
          <w:sz w:val="32"/>
          <w:szCs w:val="32"/>
          <w:lang w:val="en" w:eastAsia="zh-CN"/>
        </w:rPr>
        <w:t>增长</w:t>
      </w:r>
      <w:r>
        <w:rPr>
          <w:rFonts w:hint="eastAsia" w:ascii="仿宋_GB2312" w:hAnsi="宋体"/>
          <w:color w:val="auto"/>
          <w:sz w:val="32"/>
          <w:szCs w:val="32"/>
          <w:lang w:val="en-US" w:eastAsia="zh-CN"/>
        </w:rPr>
        <w:t>52.23</w:t>
      </w:r>
      <w:r>
        <w:rPr>
          <w:rFonts w:hint="eastAsia" w:ascii="仿宋_GB2312" w:hAnsi="Times New Roman" w:eastAsia="仿宋_GB2312" w:cs="Times New Roman"/>
          <w:color w:val="auto"/>
          <w:sz w:val="32"/>
          <w:szCs w:val="32"/>
          <w:highlight w:val="none"/>
          <w:lang w:val="en-US" w:eastAsia="zh-CN"/>
        </w:rPr>
        <w:t>％</w:t>
      </w:r>
      <w:r>
        <w:rPr>
          <w:rFonts w:hint="eastAsia" w:ascii="仿宋_GB2312" w:cs="Times New Roman"/>
          <w:color w:val="auto"/>
          <w:sz w:val="32"/>
          <w:szCs w:val="32"/>
          <w:highlight w:val="none"/>
          <w:lang w:val="en-US" w:eastAsia="zh-CN"/>
        </w:rPr>
        <w:t>。</w:t>
      </w:r>
    </w:p>
    <w:p>
      <w:pPr>
        <w:numPr>
          <w:ilvl w:val="0"/>
          <w:numId w:val="2"/>
        </w:numPr>
        <w:spacing w:line="360" w:lineRule="auto"/>
        <w:ind w:firstLine="642" w:firstLineChars="200"/>
        <w:rPr>
          <w:rFonts w:hint="eastAsia" w:ascii="仿宋_GB2312" w:hAnsi="宋体" w:eastAsia="仿宋_GB2312"/>
          <w:b/>
          <w:bCs w:val="0"/>
          <w:color w:val="auto"/>
          <w:sz w:val="32"/>
          <w:szCs w:val="32"/>
          <w:highlight w:val="none"/>
        </w:rPr>
      </w:pPr>
      <w:r>
        <w:rPr>
          <w:rFonts w:hint="eastAsia" w:ascii="仿宋_GB2312" w:hAnsi="宋体" w:eastAsia="仿宋_GB2312"/>
          <w:b/>
          <w:bCs w:val="0"/>
          <w:color w:val="auto"/>
          <w:sz w:val="32"/>
          <w:szCs w:val="32"/>
          <w:highlight w:val="none"/>
        </w:rPr>
        <w:t>按支出</w:t>
      </w:r>
      <w:r>
        <w:rPr>
          <w:rFonts w:hint="eastAsia" w:ascii="仿宋_GB2312" w:hAnsi="宋体"/>
          <w:b/>
          <w:bCs w:val="0"/>
          <w:color w:val="auto"/>
          <w:sz w:val="32"/>
          <w:szCs w:val="32"/>
          <w:highlight w:val="none"/>
          <w:lang w:eastAsia="zh-CN"/>
        </w:rPr>
        <w:t>结构</w:t>
      </w:r>
      <w:r>
        <w:rPr>
          <w:rFonts w:hint="eastAsia" w:ascii="仿宋_GB2312" w:hAnsi="宋体" w:eastAsia="仿宋_GB2312"/>
          <w:b/>
          <w:bCs w:val="0"/>
          <w:color w:val="auto"/>
          <w:sz w:val="32"/>
          <w:szCs w:val="32"/>
          <w:highlight w:val="none"/>
        </w:rPr>
        <w:t>划分</w:t>
      </w:r>
      <w:r>
        <w:rPr>
          <w:rFonts w:hint="eastAsia" w:ascii="仿宋_GB2312" w:hAnsi="宋体"/>
          <w:b/>
          <w:bCs w:val="0"/>
          <w:color w:val="auto"/>
          <w:sz w:val="32"/>
          <w:szCs w:val="32"/>
          <w:highlight w:val="none"/>
          <w:lang w:eastAsia="zh-CN"/>
        </w:rPr>
        <w:t>为基本支出和项目支出。</w:t>
      </w:r>
    </w:p>
    <w:p>
      <w:pPr>
        <w:spacing w:line="360" w:lineRule="auto"/>
        <w:ind w:firstLine="642" w:firstLineChars="200"/>
        <w:rPr>
          <w:rFonts w:hint="eastAsia" w:ascii="仿宋_GB2312" w:hAnsi="宋体" w:eastAsia="仿宋_GB2312"/>
          <w:b/>
          <w:bCs/>
          <w:color w:val="auto"/>
          <w:sz w:val="32"/>
          <w:szCs w:val="32"/>
          <w:highlight w:val="none"/>
        </w:rPr>
      </w:pPr>
      <w:r>
        <w:rPr>
          <w:rFonts w:hint="eastAsia" w:ascii="仿宋_GB2312" w:hAnsi="宋体" w:eastAsia="仿宋_GB2312"/>
          <w:b/>
          <w:bCs/>
          <w:color w:val="auto"/>
          <w:sz w:val="32"/>
          <w:szCs w:val="32"/>
          <w:highlight w:val="none"/>
        </w:rPr>
        <w:t>1．基本支出预算</w:t>
      </w:r>
    </w:p>
    <w:p>
      <w:pPr>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基本支出</w:t>
      </w:r>
      <w:r>
        <w:rPr>
          <w:rFonts w:hint="eastAsia" w:ascii="仿宋_GB2312" w:hAnsi="宋体"/>
          <w:color w:val="auto"/>
          <w:sz w:val="32"/>
          <w:szCs w:val="32"/>
          <w:highlight w:val="none"/>
          <w:lang w:val="en-US" w:eastAsia="zh-CN"/>
        </w:rPr>
        <w:t>1067.21</w:t>
      </w:r>
      <w:r>
        <w:rPr>
          <w:rFonts w:hint="eastAsia" w:ascii="仿宋_GB2312" w:hAnsi="宋体" w:eastAsia="仿宋_GB2312"/>
          <w:color w:val="auto"/>
          <w:sz w:val="32"/>
          <w:szCs w:val="32"/>
          <w:highlight w:val="none"/>
        </w:rPr>
        <w:t>万元，占支出总预算</w:t>
      </w:r>
      <w:r>
        <w:rPr>
          <w:rFonts w:hint="eastAsia" w:ascii="仿宋_GB2312" w:hAnsi="宋体"/>
          <w:color w:val="auto"/>
          <w:sz w:val="32"/>
          <w:szCs w:val="32"/>
          <w:highlight w:val="none"/>
          <w:lang w:val="en-US" w:eastAsia="zh-CN"/>
        </w:rPr>
        <w:t>71.72</w:t>
      </w:r>
      <w:r>
        <w:rPr>
          <w:rFonts w:hint="eastAsia" w:ascii="仿宋_GB2312" w:hAnsi="宋体" w:eastAsia="仿宋_GB2312"/>
          <w:color w:val="auto"/>
          <w:sz w:val="32"/>
          <w:szCs w:val="32"/>
          <w:highlight w:val="none"/>
        </w:rPr>
        <w:t>%，同比</w:t>
      </w:r>
      <w:r>
        <w:rPr>
          <w:rFonts w:hint="eastAsia" w:ascii="仿宋_GB2312" w:hAnsi="宋体"/>
          <w:color w:val="auto"/>
          <w:sz w:val="32"/>
          <w:szCs w:val="32"/>
          <w:highlight w:val="none"/>
          <w:lang w:eastAsia="zh-CN"/>
        </w:rPr>
        <w:t>减少</w:t>
      </w:r>
      <w:r>
        <w:rPr>
          <w:rFonts w:hint="eastAsia" w:ascii="仿宋_GB2312" w:hAnsi="宋体"/>
          <w:color w:val="auto"/>
          <w:sz w:val="32"/>
          <w:szCs w:val="32"/>
          <w:highlight w:val="none"/>
          <w:lang w:val="en-US" w:eastAsia="zh-CN"/>
        </w:rPr>
        <w:t>42.72</w:t>
      </w:r>
      <w:r>
        <w:rPr>
          <w:rFonts w:hint="eastAsia" w:ascii="仿宋_GB2312" w:hAnsi="宋体" w:eastAsia="仿宋_GB2312"/>
          <w:color w:val="auto"/>
          <w:sz w:val="32"/>
          <w:szCs w:val="32"/>
          <w:highlight w:val="none"/>
        </w:rPr>
        <w:t>万元，</w:t>
      </w:r>
      <w:r>
        <w:rPr>
          <w:rFonts w:hint="eastAsia" w:ascii="仿宋_GB2312" w:hAnsi="宋体" w:eastAsia="仿宋_GB2312"/>
          <w:color w:val="auto"/>
          <w:sz w:val="32"/>
          <w:szCs w:val="32"/>
          <w:lang w:val="en" w:eastAsia="zh-CN"/>
        </w:rPr>
        <w:t>下降</w:t>
      </w:r>
      <w:r>
        <w:rPr>
          <w:rFonts w:hint="eastAsia" w:ascii="仿宋_GB2312" w:hAnsi="宋体"/>
          <w:color w:val="auto"/>
          <w:sz w:val="32"/>
          <w:szCs w:val="32"/>
          <w:highlight w:val="none"/>
          <w:lang w:val="en-US" w:eastAsia="zh-CN"/>
        </w:rPr>
        <w:t>3.85</w:t>
      </w:r>
      <w:r>
        <w:rPr>
          <w:rFonts w:hint="eastAsia" w:ascii="仿宋_GB2312" w:hAnsi="宋体" w:eastAsia="仿宋_GB2312"/>
          <w:color w:val="auto"/>
          <w:sz w:val="32"/>
          <w:szCs w:val="32"/>
          <w:highlight w:val="none"/>
        </w:rPr>
        <w:t>%</w:t>
      </w:r>
      <w:r>
        <w:rPr>
          <w:rFonts w:hint="eastAsia" w:ascii="仿宋_GB2312" w:hAnsi="宋体"/>
          <w:color w:val="auto"/>
          <w:sz w:val="32"/>
          <w:szCs w:val="32"/>
          <w:highlight w:val="none"/>
          <w:lang w:eastAsia="zh-CN"/>
        </w:rPr>
        <w:t>。</w:t>
      </w:r>
      <w:r>
        <w:rPr>
          <w:rFonts w:hint="eastAsia" w:ascii="仿宋_GB2312" w:hAnsi="宋体" w:eastAsia="仿宋_GB2312"/>
          <w:bCs/>
          <w:color w:val="auto"/>
          <w:sz w:val="32"/>
          <w:szCs w:val="32"/>
          <w:highlight w:val="none"/>
        </w:rPr>
        <w:t>其中：</w:t>
      </w:r>
    </w:p>
    <w:p>
      <w:pPr>
        <w:spacing w:line="360" w:lineRule="auto"/>
        <w:ind w:firstLine="640" w:firstLineChars="200"/>
        <w:rPr>
          <w:rFonts w:hint="default" w:ascii="仿宋_GB2312" w:hAnsi="宋体" w:eastAsia="仿宋_GB2312"/>
          <w:b/>
          <w:bCs/>
          <w:color w:val="auto"/>
          <w:sz w:val="32"/>
          <w:szCs w:val="32"/>
          <w:highlight w:val="none"/>
          <w:lang w:val="en-US"/>
        </w:rPr>
      </w:pPr>
      <w:r>
        <w:rPr>
          <w:rFonts w:hint="eastAsia" w:ascii="仿宋_GB2312" w:hAnsi="Times New Roman" w:cs="Times New Roman"/>
          <w:color w:val="auto"/>
          <w:szCs w:val="32"/>
          <w:highlight w:val="none"/>
          <w:lang w:eastAsia="zh-CN"/>
        </w:rPr>
        <w:t>人员</w:t>
      </w:r>
      <w:r>
        <w:rPr>
          <w:rFonts w:hint="eastAsia" w:ascii="仿宋_GB2312" w:cs="Times New Roman"/>
          <w:color w:val="auto"/>
          <w:szCs w:val="32"/>
          <w:highlight w:val="none"/>
          <w:lang w:eastAsia="zh-CN"/>
        </w:rPr>
        <w:t>经费基本</w:t>
      </w:r>
      <w:r>
        <w:rPr>
          <w:rFonts w:hint="eastAsia" w:ascii="仿宋_GB2312" w:hAnsi="Times New Roman" w:cs="Times New Roman"/>
          <w:color w:val="auto"/>
          <w:szCs w:val="32"/>
          <w:highlight w:val="none"/>
          <w:lang w:eastAsia="zh-CN"/>
        </w:rPr>
        <w:t>支出</w:t>
      </w:r>
      <w:r>
        <w:rPr>
          <w:rFonts w:hint="eastAsia" w:ascii="仿宋_GB2312" w:hAnsi="宋体" w:eastAsia="仿宋_GB2312"/>
          <w:color w:val="auto"/>
          <w:sz w:val="32"/>
          <w:szCs w:val="32"/>
          <w:highlight w:val="none"/>
        </w:rPr>
        <w:t>预算</w:t>
      </w:r>
      <w:r>
        <w:rPr>
          <w:rFonts w:hint="eastAsia" w:ascii="仿宋_GB2312" w:hAnsi="宋体"/>
          <w:color w:val="auto"/>
          <w:sz w:val="32"/>
          <w:szCs w:val="32"/>
          <w:highlight w:val="none"/>
          <w:lang w:val="en-US" w:eastAsia="zh-CN"/>
        </w:rPr>
        <w:t>980.96</w:t>
      </w:r>
      <w:r>
        <w:rPr>
          <w:rFonts w:hint="eastAsia" w:ascii="仿宋_GB2312" w:hAnsi="宋体" w:eastAsia="仿宋_GB2312"/>
          <w:color w:val="auto"/>
          <w:sz w:val="32"/>
          <w:szCs w:val="32"/>
          <w:highlight w:val="none"/>
        </w:rPr>
        <w:t>万元，占基本支出预算</w:t>
      </w:r>
      <w:r>
        <w:rPr>
          <w:rFonts w:hint="eastAsia" w:ascii="仿宋_GB2312" w:hAnsi="宋体"/>
          <w:color w:val="auto"/>
          <w:sz w:val="32"/>
          <w:szCs w:val="32"/>
          <w:highlight w:val="none"/>
          <w:lang w:val="en-US" w:eastAsia="zh-CN"/>
        </w:rPr>
        <w:t>91.92</w:t>
      </w:r>
      <w:r>
        <w:rPr>
          <w:rFonts w:hint="eastAsia" w:ascii="仿宋_GB2312" w:hAnsi="宋体" w:eastAsia="仿宋_GB2312"/>
          <w:color w:val="auto"/>
          <w:sz w:val="32"/>
          <w:szCs w:val="32"/>
          <w:highlight w:val="none"/>
        </w:rPr>
        <w:t>%，同比</w:t>
      </w:r>
      <w:r>
        <w:rPr>
          <w:rFonts w:hint="eastAsia" w:ascii="仿宋_GB2312" w:hAnsi="宋体"/>
          <w:color w:val="auto"/>
          <w:sz w:val="32"/>
          <w:szCs w:val="32"/>
          <w:highlight w:val="none"/>
          <w:lang w:eastAsia="zh-CN"/>
        </w:rPr>
        <w:t>减少</w:t>
      </w:r>
      <w:r>
        <w:rPr>
          <w:rFonts w:hint="eastAsia" w:ascii="仿宋_GB2312" w:hAnsi="宋体"/>
          <w:color w:val="auto"/>
          <w:sz w:val="32"/>
          <w:szCs w:val="32"/>
          <w:highlight w:val="none"/>
          <w:lang w:val="en-US" w:eastAsia="zh-CN"/>
        </w:rPr>
        <w:t>50.65</w:t>
      </w:r>
      <w:r>
        <w:rPr>
          <w:rFonts w:hint="eastAsia" w:ascii="仿宋_GB2312" w:hAnsi="宋体" w:eastAsia="仿宋_GB2312"/>
          <w:color w:val="auto"/>
          <w:sz w:val="32"/>
          <w:szCs w:val="32"/>
          <w:highlight w:val="none"/>
        </w:rPr>
        <w:t>万元，</w:t>
      </w:r>
      <w:r>
        <w:rPr>
          <w:rFonts w:hint="eastAsia" w:ascii="仿宋_GB2312" w:hAnsi="宋体" w:eastAsia="仿宋_GB2312"/>
          <w:color w:val="auto"/>
          <w:sz w:val="32"/>
          <w:szCs w:val="32"/>
          <w:lang w:val="en" w:eastAsia="zh-CN"/>
        </w:rPr>
        <w:t>下降</w:t>
      </w:r>
      <w:r>
        <w:rPr>
          <w:rFonts w:hint="eastAsia" w:ascii="仿宋_GB2312" w:hAnsi="宋体"/>
          <w:color w:val="auto"/>
          <w:sz w:val="32"/>
          <w:szCs w:val="32"/>
          <w:highlight w:val="none"/>
          <w:lang w:val="en-US" w:eastAsia="zh-CN"/>
        </w:rPr>
        <w:t>4.91</w:t>
      </w:r>
      <w:r>
        <w:rPr>
          <w:rFonts w:hint="eastAsia" w:ascii="仿宋_GB2312" w:hAnsi="宋体" w:eastAsia="仿宋_GB2312"/>
          <w:color w:val="auto"/>
          <w:sz w:val="32"/>
          <w:szCs w:val="32"/>
          <w:highlight w:val="none"/>
        </w:rPr>
        <w:t>%。其中：</w:t>
      </w:r>
      <w:r>
        <w:rPr>
          <w:rFonts w:hint="eastAsia" w:ascii="仿宋_GB2312" w:hAnsi="Times New Roman" w:cs="Times New Roman"/>
          <w:color w:val="auto"/>
          <w:szCs w:val="32"/>
          <w:highlight w:val="none"/>
          <w:lang w:eastAsia="zh-CN"/>
        </w:rPr>
        <w:t>工资福利支出预算</w:t>
      </w:r>
      <w:r>
        <w:rPr>
          <w:rFonts w:hint="eastAsia" w:ascii="仿宋_GB2312" w:cs="Times New Roman"/>
          <w:color w:val="auto"/>
          <w:szCs w:val="32"/>
          <w:highlight w:val="none"/>
          <w:lang w:val="en-US" w:eastAsia="zh-CN"/>
        </w:rPr>
        <w:t>939.61</w:t>
      </w:r>
      <w:r>
        <w:rPr>
          <w:rFonts w:hint="eastAsia" w:ascii="仿宋_GB2312" w:hAnsi="Times New Roman" w:cs="Times New Roman"/>
          <w:color w:val="auto"/>
          <w:szCs w:val="32"/>
          <w:highlight w:val="none"/>
          <w:lang w:eastAsia="zh-CN"/>
        </w:rPr>
        <w:t>万元，</w:t>
      </w:r>
      <w:r>
        <w:rPr>
          <w:rFonts w:hint="eastAsia" w:ascii="仿宋_GB2312" w:hAnsi="宋体" w:eastAsia="仿宋_GB2312"/>
          <w:color w:val="auto"/>
          <w:sz w:val="32"/>
          <w:szCs w:val="32"/>
          <w:highlight w:val="none"/>
        </w:rPr>
        <w:t>占基本支出预算</w:t>
      </w:r>
      <w:r>
        <w:rPr>
          <w:rFonts w:hint="eastAsia" w:ascii="仿宋_GB2312" w:hAnsi="宋体"/>
          <w:color w:val="auto"/>
          <w:sz w:val="32"/>
          <w:szCs w:val="32"/>
          <w:highlight w:val="none"/>
          <w:lang w:val="en-US" w:eastAsia="zh-CN"/>
        </w:rPr>
        <w:t>88.04%</w:t>
      </w:r>
      <w:r>
        <w:rPr>
          <w:rFonts w:hint="eastAsia" w:ascii="仿宋_GB2312" w:hAnsi="宋体"/>
          <w:color w:val="auto"/>
          <w:sz w:val="32"/>
          <w:szCs w:val="32"/>
          <w:highlight w:val="none"/>
          <w:lang w:eastAsia="zh-CN"/>
        </w:rPr>
        <w:t>，</w:t>
      </w:r>
      <w:r>
        <w:rPr>
          <w:rFonts w:hint="eastAsia" w:ascii="仿宋_GB2312" w:hAnsi="Times New Roman" w:cs="Times New Roman"/>
          <w:color w:val="auto"/>
          <w:szCs w:val="32"/>
          <w:highlight w:val="none"/>
          <w:lang w:eastAsia="zh-CN"/>
        </w:rPr>
        <w:t>同比</w:t>
      </w:r>
      <w:r>
        <w:rPr>
          <w:rFonts w:hint="eastAsia" w:ascii="仿宋_GB2312" w:cs="Times New Roman"/>
          <w:color w:val="auto"/>
          <w:szCs w:val="32"/>
          <w:highlight w:val="none"/>
          <w:lang w:eastAsia="zh-CN"/>
        </w:rPr>
        <w:t>减少</w:t>
      </w:r>
      <w:r>
        <w:rPr>
          <w:rFonts w:hint="eastAsia" w:ascii="仿宋_GB2312" w:cs="Times New Roman"/>
          <w:color w:val="auto"/>
          <w:szCs w:val="32"/>
          <w:highlight w:val="none"/>
          <w:lang w:val="en-US" w:eastAsia="zh-CN"/>
        </w:rPr>
        <w:t>53.35</w:t>
      </w:r>
      <w:r>
        <w:rPr>
          <w:rFonts w:hint="eastAsia" w:ascii="仿宋_GB2312" w:hAnsi="Times New Roman" w:cs="Times New Roman"/>
          <w:color w:val="auto"/>
          <w:szCs w:val="32"/>
          <w:highlight w:val="none"/>
          <w:lang w:eastAsia="zh-CN"/>
        </w:rPr>
        <w:t>万元，</w:t>
      </w:r>
      <w:r>
        <w:rPr>
          <w:rFonts w:hint="eastAsia" w:ascii="仿宋_GB2312" w:hAnsi="宋体" w:eastAsia="仿宋_GB2312"/>
          <w:color w:val="auto"/>
          <w:sz w:val="32"/>
          <w:szCs w:val="32"/>
          <w:lang w:val="en" w:eastAsia="zh-CN"/>
        </w:rPr>
        <w:t>下降</w:t>
      </w:r>
      <w:r>
        <w:rPr>
          <w:rFonts w:hint="eastAsia" w:ascii="仿宋_GB2312" w:cs="Times New Roman"/>
          <w:color w:val="auto"/>
          <w:szCs w:val="32"/>
          <w:highlight w:val="none"/>
          <w:lang w:val="en-US" w:eastAsia="zh-CN"/>
        </w:rPr>
        <w:t>5.37</w:t>
      </w:r>
      <w:r>
        <w:rPr>
          <w:rFonts w:hint="eastAsia" w:ascii="仿宋_GB2312" w:hAnsi="Times New Roman" w:cs="Times New Roman"/>
          <w:color w:val="auto"/>
          <w:szCs w:val="32"/>
          <w:highlight w:val="none"/>
          <w:lang w:eastAsia="zh-CN"/>
        </w:rPr>
        <w:t>％</w:t>
      </w:r>
      <w:r>
        <w:rPr>
          <w:rFonts w:hint="eastAsia" w:ascii="仿宋_GB2312" w:cs="Times New Roman"/>
          <w:color w:val="auto"/>
          <w:szCs w:val="32"/>
          <w:highlight w:val="none"/>
          <w:lang w:eastAsia="zh-CN"/>
        </w:rPr>
        <w:t>。</w:t>
      </w:r>
      <w:r>
        <w:rPr>
          <w:rFonts w:hint="eastAsia" w:ascii="仿宋_GB2312" w:hAnsi="Times New Roman" w:cs="Times New Roman"/>
          <w:color w:val="auto"/>
          <w:szCs w:val="32"/>
          <w:highlight w:val="none"/>
          <w:lang w:eastAsia="zh-CN"/>
        </w:rPr>
        <w:t>对个人和家庭的补助预算</w:t>
      </w:r>
      <w:r>
        <w:rPr>
          <w:rFonts w:hint="eastAsia" w:ascii="仿宋_GB2312" w:cs="Times New Roman"/>
          <w:color w:val="auto"/>
          <w:szCs w:val="32"/>
          <w:highlight w:val="none"/>
          <w:lang w:val="en-US" w:eastAsia="zh-CN"/>
        </w:rPr>
        <w:t>41.36</w:t>
      </w:r>
      <w:r>
        <w:rPr>
          <w:rFonts w:hint="eastAsia" w:ascii="仿宋_GB2312" w:hAnsi="Times New Roman" w:cs="Times New Roman"/>
          <w:color w:val="auto"/>
          <w:szCs w:val="32"/>
          <w:highlight w:val="none"/>
          <w:lang w:eastAsia="zh-CN"/>
        </w:rPr>
        <w:t>万元，</w:t>
      </w:r>
      <w:r>
        <w:rPr>
          <w:rFonts w:hint="eastAsia" w:ascii="仿宋_GB2312" w:hAnsi="宋体" w:eastAsia="仿宋_GB2312"/>
          <w:color w:val="auto"/>
          <w:sz w:val="32"/>
          <w:szCs w:val="32"/>
          <w:highlight w:val="none"/>
        </w:rPr>
        <w:t>占基本支出预算</w:t>
      </w:r>
      <w:r>
        <w:rPr>
          <w:rFonts w:hint="eastAsia" w:ascii="仿宋_GB2312" w:hAnsi="宋体"/>
          <w:color w:val="auto"/>
          <w:sz w:val="32"/>
          <w:szCs w:val="32"/>
          <w:highlight w:val="none"/>
          <w:lang w:val="en-US" w:eastAsia="zh-CN"/>
        </w:rPr>
        <w:t>3.88%</w:t>
      </w:r>
      <w:r>
        <w:rPr>
          <w:rFonts w:hint="eastAsia" w:ascii="仿宋_GB2312" w:hAnsi="宋体"/>
          <w:color w:val="auto"/>
          <w:sz w:val="32"/>
          <w:szCs w:val="32"/>
          <w:highlight w:val="none"/>
          <w:lang w:eastAsia="zh-CN"/>
        </w:rPr>
        <w:t>，</w:t>
      </w:r>
      <w:r>
        <w:rPr>
          <w:rFonts w:hint="eastAsia" w:ascii="仿宋_GB2312" w:hAnsi="Times New Roman" w:cs="Times New Roman"/>
          <w:color w:val="auto"/>
          <w:szCs w:val="32"/>
          <w:highlight w:val="none"/>
          <w:lang w:eastAsia="zh-CN"/>
        </w:rPr>
        <w:t>同比</w:t>
      </w:r>
      <w:r>
        <w:rPr>
          <w:rFonts w:hint="eastAsia" w:ascii="仿宋_GB2312" w:cs="Times New Roman"/>
          <w:color w:val="auto"/>
          <w:szCs w:val="32"/>
          <w:highlight w:val="none"/>
          <w:lang w:eastAsia="zh-CN"/>
        </w:rPr>
        <w:t>增加</w:t>
      </w:r>
      <w:r>
        <w:rPr>
          <w:rFonts w:hint="eastAsia" w:ascii="仿宋_GB2312" w:cs="Times New Roman"/>
          <w:color w:val="auto"/>
          <w:szCs w:val="32"/>
          <w:highlight w:val="none"/>
          <w:lang w:val="en-US" w:eastAsia="zh-CN"/>
        </w:rPr>
        <w:t>2.7</w:t>
      </w:r>
      <w:r>
        <w:rPr>
          <w:rFonts w:hint="eastAsia" w:ascii="仿宋_GB2312" w:hAnsi="Times New Roman" w:cs="Times New Roman"/>
          <w:color w:val="auto"/>
          <w:szCs w:val="32"/>
          <w:highlight w:val="none"/>
          <w:lang w:eastAsia="zh-CN"/>
        </w:rPr>
        <w:t>万元，</w:t>
      </w:r>
      <w:r>
        <w:rPr>
          <w:rFonts w:hint="eastAsia" w:ascii="仿宋_GB2312" w:cs="Times New Roman"/>
          <w:color w:val="auto"/>
          <w:szCs w:val="32"/>
          <w:highlight w:val="none"/>
          <w:lang w:eastAsia="zh-CN"/>
        </w:rPr>
        <w:t>增长</w:t>
      </w:r>
      <w:r>
        <w:rPr>
          <w:rFonts w:hint="eastAsia" w:ascii="仿宋_GB2312" w:cs="Times New Roman"/>
          <w:color w:val="auto"/>
          <w:szCs w:val="32"/>
          <w:highlight w:val="none"/>
          <w:lang w:val="en-US" w:eastAsia="zh-CN"/>
        </w:rPr>
        <w:t>6.99</w:t>
      </w:r>
      <w:r>
        <w:rPr>
          <w:rFonts w:hint="eastAsia" w:ascii="仿宋_GB2312" w:hAnsi="Times New Roman" w:cs="Times New Roman"/>
          <w:color w:val="auto"/>
          <w:szCs w:val="32"/>
          <w:highlight w:val="none"/>
          <w:lang w:eastAsia="zh-CN"/>
        </w:rPr>
        <w:t>％</w:t>
      </w:r>
      <w:r>
        <w:rPr>
          <w:rFonts w:hint="eastAsia" w:ascii="仿宋_GB2312" w:hAnsi="宋体"/>
          <w:color w:val="auto"/>
          <w:sz w:val="32"/>
          <w:szCs w:val="32"/>
          <w:highlight w:val="none"/>
          <w:lang w:eastAsia="zh-CN"/>
        </w:rPr>
        <w:t>。</w:t>
      </w:r>
    </w:p>
    <w:p>
      <w:pPr>
        <w:spacing w:line="360" w:lineRule="auto"/>
        <w:ind w:firstLine="640" w:firstLineChars="200"/>
        <w:rPr>
          <w:rFonts w:hint="eastAsia" w:ascii="仿宋_GB2312" w:hAnsi="宋体" w:eastAsia="仿宋_GB2312"/>
          <w:color w:val="auto"/>
          <w:sz w:val="32"/>
          <w:szCs w:val="32"/>
          <w:highlight w:val="none"/>
          <w:lang w:eastAsia="zh-CN"/>
        </w:rPr>
      </w:pPr>
      <w:r>
        <w:rPr>
          <w:rFonts w:hint="eastAsia" w:ascii="仿宋_GB2312" w:hAnsi="Times New Roman" w:cs="Times New Roman"/>
          <w:color w:val="auto"/>
          <w:szCs w:val="32"/>
          <w:highlight w:val="none"/>
          <w:lang w:eastAsia="zh-CN"/>
        </w:rPr>
        <w:t>公用经费基本支出预</w:t>
      </w:r>
      <w:r>
        <w:rPr>
          <w:rFonts w:hint="eastAsia" w:ascii="仿宋_GB2312" w:hAnsi="宋体" w:eastAsia="仿宋_GB2312"/>
          <w:color w:val="auto"/>
          <w:sz w:val="32"/>
          <w:szCs w:val="32"/>
          <w:highlight w:val="none"/>
        </w:rPr>
        <w:t>算</w:t>
      </w:r>
      <w:r>
        <w:rPr>
          <w:rFonts w:hint="eastAsia" w:ascii="仿宋_GB2312" w:hAnsi="宋体"/>
          <w:color w:val="auto"/>
          <w:sz w:val="32"/>
          <w:szCs w:val="32"/>
          <w:highlight w:val="none"/>
          <w:lang w:val="en-US" w:eastAsia="zh-CN"/>
        </w:rPr>
        <w:t>86.25</w:t>
      </w:r>
      <w:r>
        <w:rPr>
          <w:rFonts w:hint="eastAsia" w:ascii="仿宋_GB2312" w:hAnsi="宋体" w:eastAsia="仿宋_GB2312"/>
          <w:color w:val="auto"/>
          <w:sz w:val="32"/>
          <w:szCs w:val="32"/>
          <w:highlight w:val="none"/>
        </w:rPr>
        <w:t>万元，占基本支出预算</w:t>
      </w:r>
      <w:r>
        <w:rPr>
          <w:rFonts w:hint="eastAsia" w:ascii="仿宋_GB2312" w:hAnsi="宋体"/>
          <w:color w:val="auto"/>
          <w:sz w:val="32"/>
          <w:szCs w:val="32"/>
          <w:highlight w:val="none"/>
          <w:lang w:val="en-US" w:eastAsia="zh-CN"/>
        </w:rPr>
        <w:t>8.08</w:t>
      </w:r>
      <w:r>
        <w:rPr>
          <w:rFonts w:hint="eastAsia" w:ascii="仿宋_GB2312" w:hAnsi="宋体" w:eastAsia="仿宋_GB2312"/>
          <w:color w:val="auto"/>
          <w:sz w:val="32"/>
          <w:szCs w:val="32"/>
          <w:highlight w:val="none"/>
        </w:rPr>
        <w:t>%，同比</w:t>
      </w:r>
      <w:r>
        <w:rPr>
          <w:rFonts w:hint="eastAsia" w:ascii="仿宋_GB2312" w:hAnsi="宋体"/>
          <w:color w:val="auto"/>
          <w:sz w:val="32"/>
          <w:szCs w:val="32"/>
          <w:highlight w:val="none"/>
          <w:lang w:eastAsia="zh-CN"/>
        </w:rPr>
        <w:t>增加</w:t>
      </w:r>
      <w:r>
        <w:rPr>
          <w:rFonts w:hint="eastAsia" w:ascii="仿宋_GB2312" w:hAnsi="宋体"/>
          <w:color w:val="auto"/>
          <w:sz w:val="32"/>
          <w:szCs w:val="32"/>
          <w:highlight w:val="none"/>
          <w:lang w:val="en-US" w:eastAsia="zh-CN"/>
        </w:rPr>
        <w:t>7.93</w:t>
      </w:r>
      <w:r>
        <w:rPr>
          <w:rFonts w:hint="eastAsia" w:ascii="仿宋_GB2312" w:hAnsi="宋体" w:eastAsia="仿宋_GB2312"/>
          <w:color w:val="auto"/>
          <w:sz w:val="32"/>
          <w:szCs w:val="32"/>
          <w:highlight w:val="none"/>
        </w:rPr>
        <w:t>万元</w:t>
      </w:r>
      <w:r>
        <w:rPr>
          <w:rFonts w:hint="eastAsia" w:ascii="仿宋_GB2312" w:hAnsi="宋体"/>
          <w:color w:val="auto"/>
          <w:sz w:val="32"/>
          <w:szCs w:val="32"/>
          <w:highlight w:val="none"/>
          <w:lang w:eastAsia="zh-CN"/>
        </w:rPr>
        <w:t>，</w:t>
      </w:r>
      <w:r>
        <w:rPr>
          <w:rFonts w:hint="eastAsia" w:ascii="仿宋_GB2312" w:hAnsi="宋体" w:eastAsia="仿宋_GB2312"/>
          <w:color w:val="auto"/>
          <w:sz w:val="32"/>
          <w:szCs w:val="32"/>
          <w:highlight w:val="none"/>
          <w:lang w:val="en" w:eastAsia="zh-CN"/>
        </w:rPr>
        <w:t>增长</w:t>
      </w:r>
      <w:r>
        <w:rPr>
          <w:rFonts w:hint="eastAsia" w:ascii="仿宋_GB2312" w:hAnsi="宋体" w:eastAsia="仿宋_GB2312"/>
          <w:color w:val="auto"/>
          <w:sz w:val="32"/>
          <w:szCs w:val="32"/>
          <w:highlight w:val="none"/>
          <w:lang w:val="en-US" w:eastAsia="zh-CN"/>
        </w:rPr>
        <w:t>10.13</w:t>
      </w:r>
      <w:r>
        <w:rPr>
          <w:rFonts w:hint="eastAsia" w:ascii="仿宋_GB2312" w:hAnsi="宋体" w:eastAsia="仿宋_GB2312"/>
          <w:color w:val="auto"/>
          <w:sz w:val="32"/>
          <w:szCs w:val="32"/>
          <w:highlight w:val="none"/>
        </w:rPr>
        <w:t>%。其中：</w:t>
      </w:r>
      <w:r>
        <w:rPr>
          <w:rFonts w:hint="eastAsia" w:ascii="仿宋_GB2312" w:hAnsi="宋体" w:eastAsia="仿宋_GB2312"/>
          <w:color w:val="auto"/>
          <w:sz w:val="32"/>
          <w:szCs w:val="32"/>
          <w:highlight w:val="none"/>
          <w:lang w:eastAsia="zh-CN"/>
        </w:rPr>
        <w:t>商品和服务支出预算</w:t>
      </w:r>
      <w:r>
        <w:rPr>
          <w:rFonts w:hint="eastAsia" w:ascii="仿宋_GB2312" w:hAnsi="宋体" w:eastAsia="仿宋_GB2312"/>
          <w:color w:val="auto"/>
          <w:sz w:val="32"/>
          <w:szCs w:val="32"/>
          <w:highlight w:val="none"/>
          <w:lang w:val="en-US" w:eastAsia="zh-CN"/>
        </w:rPr>
        <w:t>82.75</w:t>
      </w:r>
      <w:r>
        <w:rPr>
          <w:rFonts w:hint="eastAsia" w:ascii="仿宋_GB2312" w:hAnsi="宋体" w:eastAsia="仿宋_GB2312"/>
          <w:color w:val="auto"/>
          <w:sz w:val="32"/>
          <w:szCs w:val="32"/>
          <w:highlight w:val="none"/>
          <w:lang w:eastAsia="zh-CN"/>
        </w:rPr>
        <w:t>万元，</w:t>
      </w:r>
      <w:r>
        <w:rPr>
          <w:rFonts w:hint="eastAsia" w:ascii="仿宋_GB2312" w:hAnsi="宋体" w:eastAsia="仿宋_GB2312"/>
          <w:color w:val="auto"/>
          <w:sz w:val="32"/>
          <w:szCs w:val="32"/>
          <w:highlight w:val="none"/>
        </w:rPr>
        <w:t>占基本支出预算</w:t>
      </w:r>
      <w:r>
        <w:rPr>
          <w:rFonts w:hint="eastAsia" w:ascii="仿宋_GB2312" w:hAnsi="宋体" w:eastAsia="仿宋_GB2312"/>
          <w:color w:val="auto"/>
          <w:sz w:val="32"/>
          <w:szCs w:val="32"/>
          <w:highlight w:val="none"/>
          <w:lang w:val="en-US" w:eastAsia="zh-CN"/>
        </w:rPr>
        <w:t>7.75%</w:t>
      </w:r>
      <w:r>
        <w:rPr>
          <w:rFonts w:hint="eastAsia" w:ascii="仿宋_GB2312" w:hAnsi="宋体" w:eastAsia="仿宋_GB2312"/>
          <w:color w:val="auto"/>
          <w:sz w:val="32"/>
          <w:szCs w:val="32"/>
          <w:highlight w:val="none"/>
          <w:lang w:eastAsia="zh-CN"/>
        </w:rPr>
        <w:t>，同比增加</w:t>
      </w:r>
      <w:r>
        <w:rPr>
          <w:rFonts w:hint="eastAsia" w:ascii="仿宋_GB2312" w:hAnsi="宋体" w:eastAsia="仿宋_GB2312"/>
          <w:color w:val="auto"/>
          <w:sz w:val="32"/>
          <w:szCs w:val="32"/>
          <w:highlight w:val="none"/>
          <w:lang w:val="en-US" w:eastAsia="zh-CN"/>
        </w:rPr>
        <w:t>4.43</w:t>
      </w:r>
      <w:r>
        <w:rPr>
          <w:rFonts w:hint="eastAsia" w:ascii="仿宋_GB2312" w:hAnsi="宋体" w:eastAsia="仿宋_GB2312"/>
          <w:color w:val="auto"/>
          <w:sz w:val="32"/>
          <w:szCs w:val="32"/>
          <w:highlight w:val="none"/>
          <w:lang w:eastAsia="zh-CN"/>
        </w:rPr>
        <w:t>万元，</w:t>
      </w:r>
      <w:r>
        <w:rPr>
          <w:rFonts w:hint="eastAsia" w:ascii="仿宋_GB2312" w:hAnsi="宋体" w:eastAsia="仿宋_GB2312"/>
          <w:color w:val="auto"/>
          <w:sz w:val="32"/>
          <w:szCs w:val="32"/>
          <w:highlight w:val="none"/>
          <w:lang w:val="en" w:eastAsia="zh-CN"/>
        </w:rPr>
        <w:t>增长</w:t>
      </w:r>
      <w:r>
        <w:rPr>
          <w:rFonts w:hint="eastAsia" w:ascii="仿宋_GB2312" w:hAnsi="宋体" w:eastAsia="仿宋_GB2312"/>
          <w:color w:val="auto"/>
          <w:sz w:val="32"/>
          <w:szCs w:val="32"/>
          <w:highlight w:val="none"/>
          <w:lang w:val="en-US" w:eastAsia="zh-CN"/>
        </w:rPr>
        <w:t>5.66</w:t>
      </w:r>
      <w:r>
        <w:rPr>
          <w:rFonts w:hint="eastAsia" w:ascii="仿宋_GB2312" w:hAnsi="宋体" w:eastAsia="仿宋_GB2312"/>
          <w:color w:val="auto"/>
          <w:sz w:val="32"/>
          <w:szCs w:val="32"/>
          <w:highlight w:val="none"/>
          <w:lang w:eastAsia="zh-CN"/>
        </w:rPr>
        <w:t>％。资本性支出预算</w:t>
      </w:r>
      <w:r>
        <w:rPr>
          <w:rFonts w:hint="eastAsia" w:ascii="仿宋_GB2312" w:hAnsi="宋体" w:eastAsia="仿宋_GB2312"/>
          <w:color w:val="auto"/>
          <w:sz w:val="32"/>
          <w:szCs w:val="32"/>
          <w:highlight w:val="none"/>
          <w:lang w:val="en-US" w:eastAsia="zh-CN"/>
        </w:rPr>
        <w:t>3.5</w:t>
      </w:r>
      <w:r>
        <w:rPr>
          <w:rFonts w:hint="eastAsia" w:ascii="仿宋_GB2312" w:hAnsi="宋体" w:eastAsia="仿宋_GB2312"/>
          <w:color w:val="auto"/>
          <w:sz w:val="32"/>
          <w:szCs w:val="32"/>
          <w:highlight w:val="none"/>
          <w:lang w:eastAsia="zh-CN"/>
        </w:rPr>
        <w:t>万元，</w:t>
      </w:r>
      <w:r>
        <w:rPr>
          <w:rFonts w:hint="eastAsia" w:ascii="仿宋_GB2312" w:hAnsi="宋体" w:eastAsia="仿宋_GB2312"/>
          <w:color w:val="auto"/>
          <w:sz w:val="32"/>
          <w:szCs w:val="32"/>
          <w:highlight w:val="none"/>
        </w:rPr>
        <w:t>占基本支出预算</w:t>
      </w:r>
      <w:r>
        <w:rPr>
          <w:rFonts w:hint="eastAsia" w:ascii="仿宋_GB2312" w:hAnsi="宋体" w:eastAsia="仿宋_GB2312"/>
          <w:color w:val="auto"/>
          <w:sz w:val="32"/>
          <w:szCs w:val="32"/>
          <w:highlight w:val="none"/>
          <w:lang w:val="en-US" w:eastAsia="zh-CN"/>
        </w:rPr>
        <w:t>0.33%</w:t>
      </w:r>
      <w:r>
        <w:rPr>
          <w:rFonts w:hint="eastAsia" w:ascii="仿宋_GB2312" w:hAnsi="宋体" w:eastAsia="仿宋_GB2312"/>
          <w:color w:val="auto"/>
          <w:sz w:val="32"/>
          <w:szCs w:val="32"/>
          <w:highlight w:val="none"/>
          <w:lang w:eastAsia="zh-CN"/>
        </w:rPr>
        <w:t>，同比增加</w:t>
      </w:r>
      <w:r>
        <w:rPr>
          <w:rFonts w:hint="eastAsia" w:ascii="仿宋_GB2312" w:hAnsi="宋体" w:eastAsia="仿宋_GB2312"/>
          <w:color w:val="auto"/>
          <w:sz w:val="32"/>
          <w:szCs w:val="32"/>
          <w:highlight w:val="none"/>
          <w:lang w:val="en-US" w:eastAsia="zh-CN"/>
        </w:rPr>
        <w:t>3.5</w:t>
      </w:r>
      <w:r>
        <w:rPr>
          <w:rFonts w:hint="eastAsia" w:ascii="仿宋_GB2312" w:hAnsi="宋体" w:eastAsia="仿宋_GB2312"/>
          <w:color w:val="auto"/>
          <w:sz w:val="32"/>
          <w:szCs w:val="32"/>
          <w:highlight w:val="none"/>
          <w:lang w:eastAsia="zh-CN"/>
        </w:rPr>
        <w:t>万元。</w:t>
      </w:r>
    </w:p>
    <w:p>
      <w:pPr>
        <w:spacing w:line="360" w:lineRule="auto"/>
        <w:ind w:firstLine="642" w:firstLineChars="200"/>
        <w:rPr>
          <w:rFonts w:hint="eastAsia" w:ascii="仿宋_GB2312" w:hAnsi="宋体" w:eastAsia="仿宋_GB2312"/>
          <w:b/>
          <w:bCs/>
          <w:sz w:val="32"/>
          <w:szCs w:val="32"/>
          <w:highlight w:val="none"/>
        </w:rPr>
      </w:pPr>
      <w:r>
        <w:rPr>
          <w:rFonts w:hint="eastAsia" w:ascii="仿宋_GB2312" w:hAnsi="宋体" w:eastAsia="仿宋_GB2312"/>
          <w:b/>
          <w:bCs/>
          <w:sz w:val="32"/>
          <w:szCs w:val="32"/>
          <w:highlight w:val="none"/>
        </w:rPr>
        <w:t>2．项目支出预算</w:t>
      </w:r>
    </w:p>
    <w:p>
      <w:pPr>
        <w:spacing w:line="360" w:lineRule="auto"/>
        <w:ind w:firstLine="640" w:firstLineChars="200"/>
        <w:rPr>
          <w:rFonts w:hint="eastAsia" w:ascii="仿宋_GB2312" w:hAnsi="宋体"/>
          <w:color w:val="auto"/>
          <w:sz w:val="32"/>
          <w:szCs w:val="32"/>
          <w:highlight w:val="none"/>
          <w:lang w:eastAsia="zh-CN"/>
        </w:rPr>
      </w:pPr>
      <w:r>
        <w:rPr>
          <w:rFonts w:hint="eastAsia" w:ascii="仿宋_GB2312" w:hAnsi="宋体" w:eastAsia="仿宋_GB2312"/>
          <w:color w:val="auto"/>
          <w:sz w:val="32"/>
          <w:szCs w:val="32"/>
          <w:highlight w:val="none"/>
        </w:rPr>
        <w:t>项目支出</w:t>
      </w:r>
      <w:r>
        <w:rPr>
          <w:rFonts w:hint="eastAsia" w:ascii="仿宋_GB2312" w:hAnsi="宋体"/>
          <w:color w:val="auto"/>
          <w:sz w:val="32"/>
          <w:szCs w:val="32"/>
          <w:highlight w:val="none"/>
          <w:lang w:val="en-US" w:eastAsia="zh-CN"/>
        </w:rPr>
        <w:t>420.84</w:t>
      </w:r>
      <w:r>
        <w:rPr>
          <w:rFonts w:hint="eastAsia" w:ascii="仿宋_GB2312" w:hAnsi="宋体" w:eastAsia="仿宋_GB2312"/>
          <w:color w:val="auto"/>
          <w:sz w:val="32"/>
          <w:szCs w:val="32"/>
          <w:highlight w:val="none"/>
        </w:rPr>
        <w:t>万元，占支出总预算的</w:t>
      </w:r>
      <w:r>
        <w:rPr>
          <w:rFonts w:hint="eastAsia" w:ascii="仿宋_GB2312" w:hAnsi="宋体"/>
          <w:color w:val="auto"/>
          <w:sz w:val="32"/>
          <w:szCs w:val="32"/>
          <w:highlight w:val="none"/>
          <w:lang w:val="en-US" w:eastAsia="zh-CN"/>
        </w:rPr>
        <w:t>28.28</w:t>
      </w:r>
      <w:r>
        <w:rPr>
          <w:rFonts w:hint="eastAsia" w:ascii="仿宋_GB2312" w:hAnsi="宋体" w:eastAsia="仿宋_GB2312"/>
          <w:color w:val="auto"/>
          <w:sz w:val="32"/>
          <w:szCs w:val="32"/>
          <w:highlight w:val="none"/>
        </w:rPr>
        <w:t>%，同比减少</w:t>
      </w:r>
      <w:r>
        <w:rPr>
          <w:rFonts w:hint="eastAsia" w:ascii="仿宋_GB2312" w:hAnsi="宋体"/>
          <w:color w:val="auto"/>
          <w:sz w:val="32"/>
          <w:szCs w:val="32"/>
          <w:highlight w:val="none"/>
          <w:lang w:val="en-US" w:eastAsia="zh-CN"/>
        </w:rPr>
        <w:t>9.61</w:t>
      </w:r>
      <w:r>
        <w:rPr>
          <w:rFonts w:hint="eastAsia" w:ascii="仿宋_GB2312" w:hAnsi="宋体" w:eastAsia="仿宋_GB2312"/>
          <w:color w:val="auto"/>
          <w:sz w:val="32"/>
          <w:szCs w:val="32"/>
          <w:highlight w:val="none"/>
        </w:rPr>
        <w:t>万元，</w:t>
      </w:r>
      <w:r>
        <w:rPr>
          <w:rFonts w:hint="eastAsia" w:ascii="仿宋_GB2312" w:hAnsi="宋体" w:eastAsia="仿宋_GB2312"/>
          <w:color w:val="auto"/>
          <w:sz w:val="32"/>
          <w:szCs w:val="32"/>
          <w:lang w:val="en" w:eastAsia="zh-CN"/>
        </w:rPr>
        <w:t>下降</w:t>
      </w:r>
      <w:r>
        <w:rPr>
          <w:rFonts w:hint="eastAsia" w:ascii="仿宋_GB2312" w:hAnsi="宋体"/>
          <w:color w:val="auto"/>
          <w:sz w:val="32"/>
          <w:szCs w:val="32"/>
          <w:highlight w:val="none"/>
          <w:lang w:val="en-US" w:eastAsia="zh-CN"/>
        </w:rPr>
        <w:t>2.23</w:t>
      </w:r>
      <w:r>
        <w:rPr>
          <w:rFonts w:hint="eastAsia" w:ascii="仿宋_GB2312" w:hAnsi="宋体" w:eastAsia="仿宋_GB2312"/>
          <w:color w:val="auto"/>
          <w:sz w:val="32"/>
          <w:szCs w:val="32"/>
          <w:highlight w:val="none"/>
        </w:rPr>
        <w:t>%</w:t>
      </w:r>
      <w:r>
        <w:rPr>
          <w:rFonts w:hint="eastAsia" w:ascii="仿宋_GB2312" w:hAnsi="宋体"/>
          <w:color w:val="auto"/>
          <w:sz w:val="32"/>
          <w:szCs w:val="32"/>
          <w:highlight w:val="none"/>
          <w:lang w:eastAsia="zh-CN"/>
        </w:rPr>
        <w:t>。</w:t>
      </w:r>
    </w:p>
    <w:p>
      <w:pPr>
        <w:numPr>
          <w:ilvl w:val="0"/>
          <w:numId w:val="2"/>
        </w:numPr>
        <w:spacing w:line="360" w:lineRule="auto"/>
        <w:ind w:firstLine="642" w:firstLineChars="200"/>
        <w:rPr>
          <w:rFonts w:hint="eastAsia"/>
          <w:b/>
          <w:bCs w:val="0"/>
          <w:highlight w:val="none"/>
          <w:lang w:eastAsia="zh-CN"/>
        </w:rPr>
      </w:pPr>
      <w:r>
        <w:rPr>
          <w:rFonts w:hint="eastAsia" w:ascii="仿宋_GB2312" w:hAnsi="宋体"/>
          <w:b/>
          <w:bCs w:val="0"/>
          <w:sz w:val="32"/>
          <w:szCs w:val="32"/>
          <w:highlight w:val="none"/>
          <w:lang w:eastAsia="zh-CN"/>
        </w:rPr>
        <w:t>支出减少的主要原因。</w:t>
      </w:r>
    </w:p>
    <w:p>
      <w:pPr>
        <w:spacing w:line="360" w:lineRule="auto"/>
        <w:ind w:firstLine="640" w:firstLineChars="20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highlight w:val="none"/>
          <w:lang w:eastAsia="zh-CN"/>
        </w:rPr>
        <w:t>基本支出减少</w:t>
      </w:r>
      <w:r>
        <w:rPr>
          <w:rFonts w:hint="eastAsia" w:ascii="仿宋_GB2312" w:hAnsi="宋体"/>
          <w:color w:val="auto"/>
          <w:sz w:val="32"/>
          <w:szCs w:val="32"/>
          <w:highlight w:val="none"/>
          <w:lang w:eastAsia="zh-CN"/>
        </w:rPr>
        <w:t>的</w:t>
      </w:r>
      <w:r>
        <w:rPr>
          <w:rFonts w:hint="eastAsia" w:ascii="仿宋_GB2312" w:hAnsi="宋体" w:eastAsia="仿宋_GB2312"/>
          <w:color w:val="auto"/>
          <w:sz w:val="32"/>
          <w:szCs w:val="32"/>
          <w:highlight w:val="none"/>
          <w:lang w:eastAsia="zh-CN"/>
        </w:rPr>
        <w:t>原因是</w:t>
      </w:r>
      <w:r>
        <w:rPr>
          <w:rFonts w:hint="eastAsia" w:ascii="仿宋_GB2312" w:hAnsi="宋体"/>
          <w:color w:val="auto"/>
          <w:sz w:val="32"/>
          <w:szCs w:val="32"/>
          <w:highlight w:val="none"/>
          <w:lang w:eastAsia="zh-CN"/>
        </w:rPr>
        <w:t>人员调动导致</w:t>
      </w:r>
      <w:r>
        <w:rPr>
          <w:rFonts w:hint="eastAsia" w:ascii="仿宋_GB2312" w:hAnsi="Times New Roman" w:cs="Times New Roman"/>
          <w:color w:val="auto"/>
          <w:szCs w:val="32"/>
          <w:highlight w:val="none"/>
          <w:lang w:eastAsia="zh-CN"/>
        </w:rPr>
        <w:t>工资福利支出</w:t>
      </w:r>
      <w:r>
        <w:rPr>
          <w:rFonts w:hint="eastAsia" w:ascii="仿宋_GB2312" w:cs="Times New Roman"/>
          <w:color w:val="auto"/>
          <w:szCs w:val="32"/>
          <w:highlight w:val="none"/>
          <w:lang w:eastAsia="zh-CN"/>
        </w:rPr>
        <w:t>减少。</w:t>
      </w:r>
      <w:r>
        <w:rPr>
          <w:rFonts w:hint="eastAsia" w:ascii="仿宋_GB2312" w:hAnsi="宋体" w:eastAsia="仿宋_GB2312"/>
          <w:color w:val="auto"/>
          <w:sz w:val="32"/>
          <w:szCs w:val="32"/>
          <w:highlight w:val="none"/>
          <w:lang w:eastAsia="zh-CN"/>
        </w:rPr>
        <w:t>项目支出减少</w:t>
      </w:r>
      <w:r>
        <w:rPr>
          <w:rFonts w:hint="eastAsia" w:ascii="仿宋_GB2312" w:hAnsi="宋体"/>
          <w:color w:val="auto"/>
          <w:sz w:val="32"/>
          <w:szCs w:val="32"/>
          <w:highlight w:val="none"/>
          <w:lang w:eastAsia="zh-CN"/>
        </w:rPr>
        <w:t>的</w:t>
      </w:r>
      <w:r>
        <w:rPr>
          <w:rFonts w:hint="eastAsia" w:ascii="仿宋_GB2312" w:hAnsi="宋体" w:eastAsia="仿宋_GB2312"/>
          <w:color w:val="auto"/>
          <w:sz w:val="32"/>
          <w:szCs w:val="32"/>
          <w:highlight w:val="none"/>
          <w:lang w:eastAsia="zh-CN"/>
        </w:rPr>
        <w:t>原因是</w:t>
      </w:r>
      <w:r>
        <w:rPr>
          <w:rFonts w:hint="eastAsia" w:ascii="仿宋_GB2312" w:hAnsi="宋体"/>
          <w:color w:val="auto"/>
          <w:sz w:val="32"/>
          <w:szCs w:val="32"/>
          <w:highlight w:val="none"/>
          <w:lang w:val="en-US" w:eastAsia="zh-CN"/>
        </w:rPr>
        <w:t>2026年度设备购置经费</w:t>
      </w:r>
      <w:r>
        <w:rPr>
          <w:rFonts w:hint="eastAsia" w:ascii="仿宋_GB2312" w:hAnsi="Times New Roman" w:cs="Times New Roman"/>
          <w:color w:val="auto"/>
          <w:szCs w:val="32"/>
          <w:highlight w:val="none"/>
          <w:lang w:eastAsia="zh-CN"/>
        </w:rPr>
        <w:t>预算</w:t>
      </w:r>
      <w:r>
        <w:rPr>
          <w:rFonts w:hint="eastAsia" w:ascii="仿宋_GB2312" w:cs="Times New Roman"/>
          <w:color w:val="auto"/>
          <w:szCs w:val="32"/>
          <w:highlight w:val="none"/>
          <w:lang w:eastAsia="zh-CN"/>
        </w:rPr>
        <w:t>减少</w:t>
      </w:r>
      <w:r>
        <w:rPr>
          <w:rFonts w:hint="eastAsia" w:ascii="仿宋_GB2312" w:hAnsi="宋体" w:eastAsia="仿宋_GB2312"/>
          <w:color w:val="auto"/>
          <w:sz w:val="32"/>
          <w:szCs w:val="32"/>
          <w:highlight w:val="none"/>
          <w:lang w:val="en-US" w:eastAsia="zh-CN"/>
        </w:rPr>
        <w:t>。</w:t>
      </w:r>
    </w:p>
    <w:p>
      <w:pPr>
        <w:tabs>
          <w:tab w:val="center" w:pos="4475"/>
        </w:tabs>
        <w:spacing w:line="560" w:lineRule="exact"/>
        <w:ind w:firstLine="645"/>
        <w:rPr>
          <w:rFonts w:hint="eastAsia" w:ascii="黑体" w:eastAsia="黑体"/>
          <w:szCs w:val="32"/>
        </w:rPr>
      </w:pPr>
      <w:r>
        <w:rPr>
          <w:rFonts w:hint="eastAsia" w:ascii="黑体" w:eastAsia="黑体"/>
          <w:szCs w:val="32"/>
          <w:lang w:eastAsia="zh-CN"/>
        </w:rPr>
        <w:t>四</w:t>
      </w:r>
      <w:r>
        <w:rPr>
          <w:rFonts w:hint="eastAsia" w:ascii="黑体" w:eastAsia="黑体"/>
          <w:szCs w:val="32"/>
        </w:rPr>
        <w:t>、政府性基金预算支出情况说明</w:t>
      </w:r>
    </w:p>
    <w:p>
      <w:pPr>
        <w:tabs>
          <w:tab w:val="center" w:pos="4475"/>
        </w:tabs>
        <w:spacing w:line="560" w:lineRule="exact"/>
        <w:ind w:firstLine="645"/>
        <w:rPr>
          <w:rFonts w:hint="eastAsia" w:ascii="仿宋_GB2312"/>
          <w:sz w:val="32"/>
          <w:szCs w:val="32"/>
          <w:lang w:eastAsia="zh-CN"/>
        </w:rPr>
      </w:pPr>
      <w:r>
        <w:rPr>
          <w:rFonts w:hint="eastAsia" w:ascii="仿宋_GB2312"/>
          <w:sz w:val="32"/>
          <w:szCs w:val="32"/>
          <w:lang w:eastAsia="zh-CN"/>
        </w:rPr>
        <w:t>我单位2026年无政府性基金预算。</w:t>
      </w:r>
    </w:p>
    <w:p>
      <w:pPr>
        <w:tabs>
          <w:tab w:val="center" w:pos="4475"/>
        </w:tabs>
        <w:spacing w:line="560" w:lineRule="exact"/>
        <w:ind w:firstLine="645"/>
        <w:rPr>
          <w:rFonts w:hint="eastAsia" w:ascii="黑体" w:eastAsia="黑体"/>
          <w:szCs w:val="32"/>
          <w:highlight w:val="yellow"/>
          <w:lang w:eastAsia="zh-CN"/>
        </w:rPr>
      </w:pPr>
      <w:r>
        <w:rPr>
          <w:rFonts w:hint="eastAsia" w:ascii="黑体" w:eastAsia="黑体"/>
          <w:szCs w:val="32"/>
          <w:highlight w:val="none"/>
          <w:lang w:eastAsia="zh-CN"/>
        </w:rPr>
        <w:t>五</w:t>
      </w:r>
      <w:r>
        <w:rPr>
          <w:rFonts w:hint="eastAsia" w:ascii="黑体" w:eastAsia="黑体"/>
          <w:szCs w:val="32"/>
          <w:highlight w:val="none"/>
        </w:rPr>
        <w:t>、</w:t>
      </w:r>
      <w:r>
        <w:rPr>
          <w:rFonts w:hint="eastAsia" w:ascii="黑体" w:eastAsia="黑体"/>
          <w:szCs w:val="32"/>
          <w:highlight w:val="none"/>
          <w:lang w:eastAsia="zh-CN"/>
        </w:rPr>
        <w:t>国有资本经营</w:t>
      </w:r>
      <w:r>
        <w:rPr>
          <w:rFonts w:hint="eastAsia" w:ascii="黑体" w:eastAsia="黑体"/>
          <w:szCs w:val="32"/>
          <w:highlight w:val="none"/>
        </w:rPr>
        <w:t>预算支出情况说明</w:t>
      </w:r>
    </w:p>
    <w:p>
      <w:pPr>
        <w:tabs>
          <w:tab w:val="center" w:pos="4475"/>
        </w:tabs>
        <w:spacing w:line="560" w:lineRule="exact"/>
        <w:ind w:firstLine="645"/>
        <w:rPr>
          <w:rFonts w:hint="eastAsia" w:ascii="仿宋_GB2312"/>
          <w:sz w:val="32"/>
          <w:szCs w:val="32"/>
          <w:lang w:eastAsia="zh-CN"/>
        </w:rPr>
      </w:pPr>
      <w:r>
        <w:rPr>
          <w:rFonts w:hint="eastAsia" w:ascii="仿宋_GB2312"/>
          <w:sz w:val="32"/>
          <w:szCs w:val="32"/>
          <w:lang w:eastAsia="zh-CN"/>
        </w:rPr>
        <w:t>我单位2026年无国有资本经营预算。</w:t>
      </w:r>
    </w:p>
    <w:p>
      <w:pPr>
        <w:tabs>
          <w:tab w:val="center" w:pos="4475"/>
        </w:tabs>
        <w:spacing w:line="560" w:lineRule="exact"/>
        <w:ind w:firstLine="645"/>
        <w:rPr>
          <w:rFonts w:hint="eastAsia" w:ascii="黑体" w:eastAsia="黑体"/>
          <w:szCs w:val="32"/>
        </w:rPr>
      </w:pPr>
      <w:r>
        <w:rPr>
          <w:rFonts w:hint="eastAsia" w:ascii="黑体" w:eastAsia="黑体"/>
          <w:szCs w:val="32"/>
          <w:lang w:eastAsia="zh-CN"/>
        </w:rPr>
        <w:t>六</w:t>
      </w:r>
      <w:r>
        <w:rPr>
          <w:rFonts w:hint="eastAsia" w:ascii="黑体" w:eastAsia="黑体"/>
          <w:szCs w:val="32"/>
        </w:rPr>
        <w:t>、一般公共预算“三公”经费支出情况说明</w:t>
      </w:r>
    </w:p>
    <w:p>
      <w:pPr>
        <w:tabs>
          <w:tab w:val="center" w:pos="4475"/>
        </w:tabs>
        <w:spacing w:line="560" w:lineRule="exact"/>
        <w:ind w:firstLine="645"/>
        <w:rPr>
          <w:rFonts w:hint="eastAsia" w:ascii="仿宋_GB2312" w:hAnsi="宋体"/>
          <w:szCs w:val="32"/>
        </w:rPr>
      </w:pPr>
      <w:r>
        <w:rPr>
          <w:rFonts w:hint="eastAsia" w:ascii="仿宋_GB2312" w:hAnsi="宋体"/>
          <w:szCs w:val="32"/>
        </w:rPr>
        <w:t>我单位</w:t>
      </w:r>
      <w:r>
        <w:rPr>
          <w:rFonts w:hint="eastAsia" w:ascii="仿宋_GB2312"/>
          <w:lang w:eastAsia="zh-CN"/>
        </w:rPr>
        <w:t>2026年</w:t>
      </w:r>
      <w:r>
        <w:rPr>
          <w:rFonts w:hint="eastAsia" w:ascii="仿宋_GB2312"/>
        </w:rPr>
        <w:t>一般公共预算</w:t>
      </w:r>
      <w:r>
        <w:rPr>
          <w:rFonts w:hint="eastAsia" w:ascii="仿宋_GB2312"/>
          <w:bCs/>
        </w:rPr>
        <w:t>安排的“三公”经费支出预算</w:t>
      </w:r>
      <w:r>
        <w:rPr>
          <w:rFonts w:hint="eastAsia" w:ascii="仿宋_GB2312"/>
          <w:bCs/>
          <w:lang w:val="en-US" w:eastAsia="zh-CN"/>
        </w:rPr>
        <w:t>13.31</w:t>
      </w:r>
      <w:r>
        <w:rPr>
          <w:rFonts w:hint="eastAsia" w:ascii="仿宋_GB2312"/>
          <w:bCs/>
        </w:rPr>
        <w:t>万元，同口径比202</w:t>
      </w:r>
      <w:r>
        <w:rPr>
          <w:rFonts w:hint="eastAsia" w:ascii="仿宋_GB2312"/>
          <w:bCs/>
          <w:lang w:val="en-US" w:eastAsia="zh-CN"/>
        </w:rPr>
        <w:t>5</w:t>
      </w:r>
      <w:r>
        <w:rPr>
          <w:rFonts w:hint="eastAsia" w:ascii="仿宋_GB2312"/>
          <w:bCs/>
        </w:rPr>
        <w:t>年减少</w:t>
      </w:r>
      <w:r>
        <w:rPr>
          <w:rFonts w:hint="eastAsia" w:ascii="仿宋_GB2312"/>
          <w:bCs/>
          <w:lang w:val="en-US" w:eastAsia="zh-CN"/>
        </w:rPr>
        <w:t>0.78</w:t>
      </w:r>
      <w:r>
        <w:rPr>
          <w:rFonts w:hint="eastAsia" w:ascii="仿宋_GB2312"/>
          <w:bCs/>
        </w:rPr>
        <w:t>万元，下降</w:t>
      </w:r>
      <w:r>
        <w:rPr>
          <w:rFonts w:hint="eastAsia" w:ascii="仿宋_GB2312"/>
          <w:bCs/>
          <w:lang w:val="en-US" w:eastAsia="zh-CN"/>
        </w:rPr>
        <w:t>5.54</w:t>
      </w:r>
      <w:r>
        <w:rPr>
          <w:rFonts w:hint="eastAsia" w:ascii="仿宋_GB2312"/>
          <w:bCs/>
        </w:rPr>
        <w:t>%，具体如下：</w:t>
      </w:r>
    </w:p>
    <w:p>
      <w:pPr>
        <w:tabs>
          <w:tab w:val="center" w:pos="4475"/>
        </w:tabs>
        <w:spacing w:line="560" w:lineRule="exact"/>
        <w:ind w:firstLine="645"/>
        <w:rPr>
          <w:rFonts w:hint="eastAsia" w:ascii="仿宋_GB2312" w:hAnsi="宋体"/>
          <w:szCs w:val="32"/>
        </w:rPr>
      </w:pPr>
      <w:r>
        <w:rPr>
          <w:rFonts w:hint="eastAsia" w:ascii="仿宋_GB2312"/>
          <w:lang w:eastAsia="zh-CN"/>
        </w:rPr>
        <w:t>（一）</w:t>
      </w:r>
      <w:r>
        <w:rPr>
          <w:rFonts w:hint="eastAsia" w:ascii="仿宋_GB2312"/>
        </w:rPr>
        <w:t>因公出国（境）费</w:t>
      </w:r>
      <w:r>
        <w:rPr>
          <w:rFonts w:hint="eastAsia" w:ascii="仿宋_GB2312" w:hAnsi="宋体"/>
          <w:szCs w:val="32"/>
          <w:lang w:eastAsia="zh-CN"/>
        </w:rPr>
        <w:t>2026年</w:t>
      </w:r>
      <w:r>
        <w:rPr>
          <w:rFonts w:hint="eastAsia" w:ascii="仿宋_GB2312" w:hAnsi="宋体"/>
          <w:szCs w:val="32"/>
        </w:rPr>
        <w:t>预算安排</w:t>
      </w:r>
      <w:r>
        <w:rPr>
          <w:rFonts w:hint="eastAsia" w:ascii="仿宋_GB2312" w:hAnsi="宋体"/>
          <w:szCs w:val="32"/>
          <w:lang w:val="en-US" w:eastAsia="zh-CN"/>
        </w:rPr>
        <w:t>0</w:t>
      </w:r>
      <w:r>
        <w:rPr>
          <w:rFonts w:hint="eastAsia" w:ascii="仿宋_GB2312" w:hAnsi="宋体"/>
          <w:szCs w:val="32"/>
        </w:rPr>
        <w:t>万元，与上年持平。</w:t>
      </w:r>
    </w:p>
    <w:p>
      <w:pPr>
        <w:tabs>
          <w:tab w:val="center" w:pos="4475"/>
        </w:tabs>
        <w:spacing w:line="560" w:lineRule="exact"/>
        <w:ind w:firstLine="645"/>
        <w:rPr>
          <w:rFonts w:hint="eastAsia" w:ascii="仿宋_GB2312" w:hAnsi="宋体"/>
          <w:szCs w:val="32"/>
        </w:rPr>
      </w:pPr>
      <w:r>
        <w:rPr>
          <w:rFonts w:hint="eastAsia" w:ascii="仿宋_GB2312"/>
          <w:lang w:eastAsia="zh-CN"/>
        </w:rPr>
        <w:t>（二）</w:t>
      </w:r>
      <w:r>
        <w:rPr>
          <w:rFonts w:hint="eastAsia" w:ascii="仿宋_GB2312"/>
        </w:rPr>
        <w:t>公务用车购置及运行费</w:t>
      </w:r>
      <w:r>
        <w:rPr>
          <w:rFonts w:hint="eastAsia" w:ascii="仿宋_GB2312" w:hAnsi="宋体"/>
          <w:szCs w:val="32"/>
          <w:lang w:eastAsia="zh-CN"/>
        </w:rPr>
        <w:t>2026年</w:t>
      </w:r>
      <w:r>
        <w:rPr>
          <w:rFonts w:hint="eastAsia" w:ascii="仿宋_GB2312" w:hAnsi="宋体"/>
          <w:szCs w:val="32"/>
        </w:rPr>
        <w:t>预算安排</w:t>
      </w:r>
      <w:r>
        <w:rPr>
          <w:rFonts w:hint="eastAsia" w:ascii="仿宋_GB2312" w:hAnsi="宋体"/>
          <w:szCs w:val="32"/>
          <w:lang w:val="en-US" w:eastAsia="zh-CN"/>
        </w:rPr>
        <w:t>12.65</w:t>
      </w:r>
      <w:r>
        <w:rPr>
          <w:rFonts w:hint="eastAsia" w:ascii="仿宋_GB2312" w:hAnsi="宋体"/>
          <w:szCs w:val="32"/>
        </w:rPr>
        <w:t>万元，比上年减少</w:t>
      </w:r>
      <w:r>
        <w:rPr>
          <w:rFonts w:hint="eastAsia" w:ascii="仿宋_GB2312" w:hAnsi="宋体"/>
          <w:szCs w:val="32"/>
          <w:lang w:val="en-US" w:eastAsia="zh-CN"/>
        </w:rPr>
        <w:t>0.67</w:t>
      </w:r>
      <w:r>
        <w:rPr>
          <w:rFonts w:hint="eastAsia" w:ascii="仿宋_GB2312" w:hAnsi="宋体"/>
          <w:szCs w:val="32"/>
        </w:rPr>
        <w:t>万元，下降</w:t>
      </w:r>
      <w:r>
        <w:rPr>
          <w:rFonts w:hint="eastAsia" w:ascii="仿宋_GB2312" w:hAnsi="宋体"/>
          <w:szCs w:val="32"/>
          <w:lang w:val="en-US" w:eastAsia="zh-CN"/>
        </w:rPr>
        <w:t>5.03</w:t>
      </w:r>
      <w:r>
        <w:rPr>
          <w:rFonts w:hint="eastAsia" w:ascii="仿宋_GB2312" w:hAnsi="宋体"/>
          <w:szCs w:val="32"/>
        </w:rPr>
        <w:t>%</w:t>
      </w:r>
      <w:r>
        <w:rPr>
          <w:rFonts w:hint="eastAsia" w:ascii="仿宋_GB2312" w:hAnsi="宋体"/>
          <w:szCs w:val="32"/>
          <w:lang w:eastAsia="zh-CN"/>
        </w:rPr>
        <w:t>，</w:t>
      </w:r>
      <w:r>
        <w:rPr>
          <w:rFonts w:hint="eastAsia" w:ascii="仿宋_GB2312" w:hAnsi="宋体"/>
          <w:szCs w:val="32"/>
        </w:rPr>
        <w:t>其中：</w:t>
      </w:r>
    </w:p>
    <w:p>
      <w:pPr>
        <w:tabs>
          <w:tab w:val="center" w:pos="4475"/>
        </w:tabs>
        <w:spacing w:line="560" w:lineRule="exact"/>
        <w:ind w:firstLine="645"/>
        <w:rPr>
          <w:rFonts w:hint="eastAsia" w:ascii="仿宋_GB2312" w:hAnsi="Arial" w:cs="Arial"/>
          <w:kern w:val="0"/>
        </w:rPr>
      </w:pPr>
      <w:r>
        <w:rPr>
          <w:rFonts w:hint="eastAsia" w:ascii="仿宋_GB2312" w:hAnsi="宋体"/>
          <w:szCs w:val="32"/>
        </w:rPr>
        <w:t>公务用车购置费</w:t>
      </w:r>
      <w:r>
        <w:rPr>
          <w:rFonts w:hint="eastAsia" w:ascii="仿宋_GB2312" w:hAnsi="宋体"/>
          <w:szCs w:val="32"/>
          <w:lang w:eastAsia="zh-CN"/>
        </w:rPr>
        <w:t>2026年</w:t>
      </w:r>
      <w:r>
        <w:rPr>
          <w:rFonts w:hint="eastAsia" w:ascii="仿宋_GB2312" w:hAnsi="宋体"/>
          <w:szCs w:val="32"/>
        </w:rPr>
        <w:t>预算安排</w:t>
      </w:r>
      <w:r>
        <w:rPr>
          <w:rFonts w:hint="eastAsia" w:ascii="仿宋_GB2312" w:hAnsi="宋体"/>
          <w:szCs w:val="32"/>
          <w:lang w:val="en-US" w:eastAsia="zh-CN"/>
        </w:rPr>
        <w:t>0</w:t>
      </w:r>
      <w:r>
        <w:rPr>
          <w:rFonts w:hint="eastAsia" w:ascii="仿宋_GB2312" w:hAnsi="宋体"/>
          <w:szCs w:val="32"/>
        </w:rPr>
        <w:t>万元，与上年持平</w:t>
      </w:r>
      <w:r>
        <w:rPr>
          <w:rFonts w:hint="eastAsia" w:ascii="仿宋_GB2312" w:hAnsi="Arial" w:cs="Arial"/>
          <w:kern w:val="0"/>
        </w:rPr>
        <w:t>；</w:t>
      </w:r>
    </w:p>
    <w:p>
      <w:pPr>
        <w:tabs>
          <w:tab w:val="center" w:pos="4475"/>
        </w:tabs>
        <w:spacing w:line="560" w:lineRule="exact"/>
        <w:ind w:firstLine="645"/>
        <w:rPr>
          <w:rFonts w:hint="eastAsia" w:ascii="仿宋_GB2312" w:hAnsi="宋体"/>
          <w:szCs w:val="32"/>
          <w:lang w:eastAsia="zh-CN"/>
        </w:rPr>
      </w:pPr>
      <w:r>
        <w:rPr>
          <w:rFonts w:hint="eastAsia" w:ascii="仿宋_GB2312" w:hAnsi="宋体"/>
          <w:szCs w:val="32"/>
          <w:lang w:eastAsia="zh-CN"/>
        </w:rPr>
        <w:t>公务用车运行维护费2026年预算安排</w:t>
      </w:r>
      <w:r>
        <w:rPr>
          <w:rFonts w:hint="eastAsia" w:ascii="仿宋_GB2312" w:hAnsi="宋体"/>
          <w:szCs w:val="32"/>
          <w:lang w:val="en-US" w:eastAsia="zh-CN"/>
        </w:rPr>
        <w:t>12.65</w:t>
      </w:r>
      <w:r>
        <w:rPr>
          <w:rFonts w:hint="eastAsia" w:ascii="仿宋_GB2312" w:hAnsi="宋体"/>
          <w:szCs w:val="32"/>
          <w:lang w:eastAsia="zh-CN"/>
        </w:rPr>
        <w:t>万元，比上年减少</w:t>
      </w:r>
      <w:r>
        <w:rPr>
          <w:rFonts w:hint="eastAsia" w:ascii="仿宋_GB2312" w:hAnsi="宋体"/>
          <w:szCs w:val="32"/>
          <w:lang w:val="en-US" w:eastAsia="zh-CN"/>
        </w:rPr>
        <w:t>0.67</w:t>
      </w:r>
      <w:r>
        <w:rPr>
          <w:rFonts w:hint="eastAsia" w:ascii="仿宋_GB2312" w:hAnsi="宋体"/>
          <w:szCs w:val="32"/>
          <w:lang w:eastAsia="zh-CN"/>
        </w:rPr>
        <w:t>万元，下降</w:t>
      </w:r>
      <w:r>
        <w:rPr>
          <w:rFonts w:hint="eastAsia" w:ascii="仿宋_GB2312" w:hAnsi="宋体"/>
          <w:szCs w:val="32"/>
          <w:lang w:val="en-US" w:eastAsia="zh-CN"/>
        </w:rPr>
        <w:t>5.03</w:t>
      </w:r>
      <w:r>
        <w:rPr>
          <w:rFonts w:hint="eastAsia" w:ascii="仿宋_GB2312" w:hAnsi="宋体"/>
          <w:szCs w:val="32"/>
          <w:lang w:eastAsia="zh-CN"/>
        </w:rPr>
        <w:t>%，减少的主要原因是厉行节约，按规定压减公务用车运行维护费。</w:t>
      </w:r>
    </w:p>
    <w:p>
      <w:pPr>
        <w:tabs>
          <w:tab w:val="center" w:pos="4475"/>
        </w:tabs>
        <w:spacing w:line="560" w:lineRule="exact"/>
        <w:ind w:firstLine="645"/>
        <w:rPr>
          <w:rFonts w:hint="eastAsia" w:ascii="仿宋_GB2312"/>
          <w:highlight w:val="none"/>
        </w:rPr>
      </w:pPr>
      <w:r>
        <w:rPr>
          <w:rFonts w:hint="eastAsia" w:ascii="仿宋_GB2312"/>
          <w:highlight w:val="none"/>
          <w:lang w:eastAsia="zh-CN"/>
        </w:rPr>
        <w:t>（三）</w:t>
      </w:r>
      <w:r>
        <w:rPr>
          <w:rFonts w:hint="eastAsia" w:ascii="仿宋_GB2312"/>
          <w:highlight w:val="none"/>
        </w:rPr>
        <w:t>公务接待费</w:t>
      </w:r>
      <w:r>
        <w:rPr>
          <w:rFonts w:hint="eastAsia" w:ascii="仿宋_GB2312" w:hAnsi="宋体"/>
          <w:szCs w:val="32"/>
          <w:highlight w:val="none"/>
          <w:lang w:eastAsia="zh-CN"/>
        </w:rPr>
        <w:t>2026年</w:t>
      </w:r>
      <w:r>
        <w:rPr>
          <w:rFonts w:hint="eastAsia" w:ascii="仿宋_GB2312" w:hAnsi="宋体"/>
          <w:szCs w:val="32"/>
          <w:highlight w:val="none"/>
        </w:rPr>
        <w:t>预算安排</w:t>
      </w:r>
      <w:r>
        <w:rPr>
          <w:rFonts w:hint="eastAsia" w:ascii="仿宋_GB2312" w:hAnsi="宋体"/>
          <w:szCs w:val="32"/>
          <w:highlight w:val="none"/>
          <w:lang w:val="en-US" w:eastAsia="zh-CN"/>
        </w:rPr>
        <w:t>0.66</w:t>
      </w:r>
      <w:r>
        <w:rPr>
          <w:rFonts w:hint="eastAsia" w:ascii="仿宋_GB2312" w:hAnsi="宋体"/>
          <w:szCs w:val="32"/>
          <w:highlight w:val="none"/>
        </w:rPr>
        <w:t>万元，比上年减少</w:t>
      </w:r>
      <w:r>
        <w:rPr>
          <w:rFonts w:hint="eastAsia" w:ascii="仿宋_GB2312" w:hAnsi="宋体"/>
          <w:szCs w:val="32"/>
          <w:highlight w:val="none"/>
          <w:lang w:val="en-US" w:eastAsia="zh-CN"/>
        </w:rPr>
        <w:t>0.11</w:t>
      </w:r>
      <w:r>
        <w:rPr>
          <w:rFonts w:hint="eastAsia" w:ascii="仿宋_GB2312" w:hAnsi="宋体"/>
          <w:szCs w:val="32"/>
          <w:highlight w:val="none"/>
        </w:rPr>
        <w:t>万元，下降</w:t>
      </w:r>
      <w:r>
        <w:rPr>
          <w:rFonts w:hint="eastAsia" w:ascii="仿宋_GB2312" w:hAnsi="宋体"/>
          <w:szCs w:val="32"/>
          <w:highlight w:val="none"/>
          <w:lang w:val="en-US" w:eastAsia="zh-CN"/>
        </w:rPr>
        <w:t>14.29</w:t>
      </w:r>
      <w:r>
        <w:rPr>
          <w:rFonts w:hint="eastAsia" w:ascii="仿宋_GB2312" w:hAnsi="宋体"/>
          <w:szCs w:val="32"/>
          <w:highlight w:val="none"/>
        </w:rPr>
        <w:t>%，</w:t>
      </w:r>
      <w:r>
        <w:rPr>
          <w:rFonts w:hint="eastAsia" w:ascii="仿宋_GB2312"/>
          <w:highlight w:val="none"/>
        </w:rPr>
        <w:t>减少的主要原因是</w:t>
      </w:r>
      <w:r>
        <w:rPr>
          <w:rFonts w:hint="eastAsia" w:ascii="仿宋_GB2312"/>
          <w:highlight w:val="none"/>
          <w:lang w:eastAsia="zh-CN"/>
        </w:rPr>
        <w:t>厉行节约及由于机构合并后预计公务接待任务相应减少</w:t>
      </w:r>
      <w:r>
        <w:rPr>
          <w:rFonts w:hint="eastAsia" w:ascii="仿宋_GB2312"/>
          <w:highlight w:val="none"/>
        </w:rPr>
        <w:t>。</w:t>
      </w:r>
    </w:p>
    <w:p>
      <w:pPr>
        <w:tabs>
          <w:tab w:val="center" w:pos="4475"/>
        </w:tabs>
        <w:spacing w:line="560" w:lineRule="exact"/>
        <w:ind w:firstLine="645"/>
        <w:rPr>
          <w:rFonts w:hint="eastAsia" w:ascii="楷体_GB2312" w:hAnsi="楷体_GB2312" w:eastAsia="楷体_GB2312" w:cs="楷体_GB2312"/>
          <w:szCs w:val="32"/>
        </w:rPr>
      </w:pPr>
      <w:r>
        <w:rPr>
          <w:rFonts w:hint="eastAsia" w:ascii="黑体" w:eastAsia="黑体"/>
          <w:szCs w:val="32"/>
          <w:lang w:eastAsia="zh-CN"/>
        </w:rPr>
        <w:t>七、事业单位相关运行经费</w:t>
      </w:r>
      <w:r>
        <w:rPr>
          <w:rFonts w:hint="eastAsia" w:ascii="黑体" w:hAnsi="黑体" w:eastAsia="黑体" w:cs="黑体"/>
          <w:szCs w:val="32"/>
        </w:rPr>
        <w:t>安排情况说明</w:t>
      </w:r>
    </w:p>
    <w:p>
      <w:pPr>
        <w:tabs>
          <w:tab w:val="center" w:pos="4475"/>
        </w:tabs>
        <w:spacing w:line="560" w:lineRule="exact"/>
        <w:ind w:firstLine="645"/>
        <w:rPr>
          <w:rFonts w:hint="eastAsia" w:ascii="仿宋_GB2312"/>
          <w:sz w:val="32"/>
          <w:szCs w:val="32"/>
          <w:lang w:val="en-US" w:eastAsia="zh-CN"/>
        </w:rPr>
      </w:pPr>
      <w:r>
        <w:rPr>
          <w:rFonts w:hint="eastAsia" w:ascii="仿宋_GB2312" w:hAnsi="宋体" w:cs="Times New Roman"/>
          <w:color w:val="auto"/>
          <w:szCs w:val="32"/>
          <w:highlight w:val="none"/>
          <w:lang w:eastAsia="zh-CN"/>
        </w:rPr>
        <w:t>我单位事业单位相关运行经费主要包括</w:t>
      </w:r>
      <w:r>
        <w:rPr>
          <w:rFonts w:hint="eastAsia" w:ascii="仿宋_GB2312" w:hAnsi="宋体"/>
          <w:color w:val="auto"/>
          <w:szCs w:val="32"/>
        </w:rPr>
        <w:t>保障事业单位运行</w:t>
      </w:r>
      <w:r>
        <w:rPr>
          <w:rFonts w:hint="eastAsia" w:ascii="仿宋_GB2312" w:hAnsi="宋体"/>
          <w:color w:val="auto"/>
          <w:szCs w:val="32"/>
          <w:lang w:eastAsia="zh-CN"/>
        </w:rPr>
        <w:t>的</w:t>
      </w:r>
      <w:r>
        <w:rPr>
          <w:rFonts w:hint="eastAsia" w:ascii="仿宋_GB2312" w:hAnsi="宋体"/>
          <w:color w:val="auto"/>
          <w:szCs w:val="32"/>
        </w:rPr>
        <w:t>办公费、邮电费、差旅费、会议费、福利费、日常维修费、专用材料及</w:t>
      </w:r>
      <w:r>
        <w:rPr>
          <w:rFonts w:hint="eastAsia" w:ascii="仿宋_GB2312" w:hAnsi="宋体"/>
          <w:color w:val="auto"/>
          <w:szCs w:val="32"/>
          <w:lang w:eastAsia="zh-CN"/>
        </w:rPr>
        <w:t>办公</w:t>
      </w:r>
      <w:r>
        <w:rPr>
          <w:rFonts w:hint="eastAsia" w:ascii="仿宋_GB2312" w:hAnsi="宋体"/>
          <w:color w:val="auto"/>
          <w:szCs w:val="32"/>
        </w:rPr>
        <w:t>设备购置费、公务用车运行维护费以及其他费用</w:t>
      </w:r>
      <w:r>
        <w:rPr>
          <w:rFonts w:hint="eastAsia" w:ascii="仿宋_GB2312" w:hAnsi="宋体"/>
          <w:color w:val="auto"/>
          <w:szCs w:val="32"/>
          <w:lang w:eastAsia="zh-CN"/>
        </w:rPr>
        <w:t>。</w:t>
      </w:r>
      <w:r>
        <w:rPr>
          <w:rFonts w:hint="eastAsia" w:ascii="仿宋_GB2312" w:hAnsi="宋体" w:cs="Times New Roman"/>
          <w:color w:val="auto"/>
          <w:szCs w:val="32"/>
          <w:highlight w:val="none"/>
          <w:lang w:eastAsia="zh-CN"/>
        </w:rPr>
        <w:t>我单位</w:t>
      </w:r>
      <w:r>
        <w:rPr>
          <w:rFonts w:hint="eastAsia" w:ascii="仿宋_GB2312" w:hAnsi="宋体" w:cs="Times New Roman"/>
          <w:color w:val="auto"/>
          <w:szCs w:val="32"/>
          <w:highlight w:val="none"/>
          <w:lang w:val="en-US" w:eastAsia="zh-CN"/>
        </w:rPr>
        <w:t>2026年</w:t>
      </w:r>
      <w:r>
        <w:rPr>
          <w:rFonts w:hint="eastAsia" w:ascii="仿宋_GB2312" w:hAnsi="宋体" w:cs="Times New Roman"/>
          <w:color w:val="auto"/>
          <w:szCs w:val="32"/>
          <w:highlight w:val="none"/>
          <w:lang w:eastAsia="zh-CN"/>
        </w:rPr>
        <w:t>事业单位</w:t>
      </w:r>
      <w:r>
        <w:rPr>
          <w:rFonts w:hint="eastAsia" w:ascii="仿宋_GB2312" w:hAnsi="宋体" w:cs="Times New Roman"/>
          <w:color w:val="auto"/>
          <w:szCs w:val="32"/>
          <w:highlight w:val="none"/>
          <w:lang w:val="en-US" w:eastAsia="zh-CN"/>
        </w:rPr>
        <w:t>运行经费预算86.25万元，较上年增加7.93</w:t>
      </w:r>
      <w:r>
        <w:rPr>
          <w:rFonts w:hint="eastAsia" w:ascii="仿宋_GB2312" w:hAnsi="宋体" w:cs="Times New Roman"/>
          <w:color w:val="auto"/>
          <w:szCs w:val="32"/>
          <w:highlight w:val="none"/>
          <w:lang w:val="en" w:eastAsia="zh-CN"/>
        </w:rPr>
        <w:t>万元，</w:t>
      </w:r>
      <w:r>
        <w:rPr>
          <w:rFonts w:hint="eastAsia" w:ascii="仿宋_GB2312" w:hAnsi="宋体" w:cs="Times New Roman"/>
          <w:color w:val="auto"/>
          <w:szCs w:val="32"/>
          <w:highlight w:val="none"/>
          <w:lang w:eastAsia="zh-CN"/>
        </w:rPr>
        <w:t>增长</w:t>
      </w:r>
      <w:r>
        <w:rPr>
          <w:rFonts w:hint="eastAsia" w:ascii="仿宋_GB2312" w:hAnsi="宋体" w:cs="Times New Roman"/>
          <w:color w:val="auto"/>
          <w:szCs w:val="32"/>
          <w:highlight w:val="none"/>
          <w:lang w:val="en-US" w:eastAsia="zh-CN"/>
        </w:rPr>
        <w:t>10.13%，增长的主要原因是2026年按规定增加党团工青妇活动经费。</w:t>
      </w:r>
    </w:p>
    <w:p>
      <w:pPr>
        <w:tabs>
          <w:tab w:val="center" w:pos="4475"/>
        </w:tabs>
        <w:spacing w:line="560" w:lineRule="exact"/>
        <w:ind w:firstLine="645"/>
        <w:rPr>
          <w:rFonts w:hint="eastAsia" w:ascii="楷体_GB2312" w:hAnsi="楷体_GB2312" w:eastAsia="楷体_GB2312" w:cs="楷体_GB2312"/>
          <w:kern w:val="0"/>
        </w:rPr>
      </w:pPr>
      <w:r>
        <w:rPr>
          <w:rFonts w:hint="eastAsia" w:ascii="黑体" w:hAnsi="黑体" w:eastAsia="黑体" w:cs="黑体"/>
          <w:szCs w:val="32"/>
          <w:lang w:eastAsia="zh-CN"/>
        </w:rPr>
        <w:t>八、</w:t>
      </w:r>
      <w:r>
        <w:rPr>
          <w:rFonts w:hint="eastAsia" w:ascii="黑体" w:hAnsi="黑体" w:eastAsia="黑体" w:cs="黑体"/>
          <w:kern w:val="0"/>
        </w:rPr>
        <w:t>政府采购预算安排情况说明</w:t>
      </w:r>
    </w:p>
    <w:p>
      <w:pPr>
        <w:tabs>
          <w:tab w:val="center" w:pos="4475"/>
        </w:tabs>
        <w:spacing w:line="560" w:lineRule="exact"/>
        <w:ind w:firstLine="645"/>
        <w:rPr>
          <w:rFonts w:hint="eastAsia" w:ascii="仿宋_GB2312" w:hAnsi="宋体"/>
          <w:szCs w:val="32"/>
        </w:rPr>
      </w:pPr>
      <w:r>
        <w:rPr>
          <w:rFonts w:hint="eastAsia" w:ascii="仿宋_GB2312" w:hAnsi="宋体"/>
          <w:color w:val="auto"/>
          <w:szCs w:val="32"/>
          <w:highlight w:val="none"/>
        </w:rPr>
        <w:t>我</w:t>
      </w:r>
      <w:r>
        <w:rPr>
          <w:rFonts w:hint="eastAsia" w:ascii="仿宋_GB2312" w:hAnsi="宋体"/>
          <w:color w:val="auto"/>
          <w:szCs w:val="32"/>
          <w:highlight w:val="none"/>
          <w:lang w:eastAsia="zh-CN"/>
        </w:rPr>
        <w:t>单位</w:t>
      </w:r>
      <w:r>
        <w:rPr>
          <w:rFonts w:hint="eastAsia" w:ascii="仿宋_GB2312" w:hAnsi="宋体"/>
          <w:color w:val="auto"/>
          <w:szCs w:val="32"/>
        </w:rPr>
        <w:t>20</w:t>
      </w:r>
      <w:r>
        <w:rPr>
          <w:rFonts w:hint="eastAsia" w:ascii="仿宋_GB2312" w:hAnsi="宋体"/>
          <w:color w:val="auto"/>
          <w:szCs w:val="32"/>
          <w:lang w:val="en-US" w:eastAsia="zh-CN"/>
        </w:rPr>
        <w:t>26</w:t>
      </w:r>
      <w:r>
        <w:rPr>
          <w:rFonts w:hint="eastAsia" w:ascii="仿宋_GB2312" w:hAnsi="宋体"/>
          <w:color w:val="auto"/>
          <w:szCs w:val="32"/>
        </w:rPr>
        <w:t>年政府采购预算总金额</w:t>
      </w:r>
      <w:r>
        <w:rPr>
          <w:rFonts w:hint="eastAsia" w:ascii="仿宋_GB2312" w:hAnsi="宋体"/>
          <w:color w:val="auto"/>
          <w:szCs w:val="32"/>
          <w:lang w:val="en-US" w:eastAsia="zh-CN"/>
        </w:rPr>
        <w:t>277.29</w:t>
      </w:r>
      <w:r>
        <w:rPr>
          <w:rFonts w:hint="eastAsia" w:ascii="仿宋_GB2312" w:hAnsi="宋体"/>
          <w:color w:val="auto"/>
          <w:szCs w:val="32"/>
        </w:rPr>
        <w:t>万元</w:t>
      </w:r>
      <w:r>
        <w:rPr>
          <w:rFonts w:hint="eastAsia" w:ascii="仿宋_GB2312" w:hAnsi="宋体"/>
          <w:color w:val="auto"/>
          <w:szCs w:val="32"/>
          <w:lang w:eastAsia="zh-CN"/>
        </w:rPr>
        <w:t>，</w:t>
      </w:r>
      <w:r>
        <w:rPr>
          <w:rFonts w:hint="eastAsia" w:ascii="仿宋_GB2312" w:hAnsi="宋体"/>
          <w:color w:val="auto"/>
          <w:szCs w:val="32"/>
          <w:lang w:val="en-US" w:eastAsia="zh-CN"/>
        </w:rPr>
        <w:t>较去年减少2.79万元，下降1%</w:t>
      </w:r>
      <w:r>
        <w:rPr>
          <w:rFonts w:hint="eastAsia" w:ascii="仿宋_GB2312" w:hAnsi="宋体"/>
          <w:color w:val="auto"/>
          <w:szCs w:val="32"/>
        </w:rPr>
        <w:t>。其中：货物类采购</w:t>
      </w:r>
      <w:r>
        <w:rPr>
          <w:rFonts w:hint="eastAsia" w:ascii="仿宋_GB2312" w:hAnsi="宋体"/>
          <w:color w:val="auto"/>
          <w:szCs w:val="32"/>
          <w:lang w:val="en-US" w:eastAsia="zh-CN"/>
        </w:rPr>
        <w:t>3.5</w:t>
      </w:r>
      <w:r>
        <w:rPr>
          <w:rFonts w:hint="eastAsia" w:ascii="仿宋_GB2312" w:hAnsi="宋体"/>
          <w:color w:val="auto"/>
          <w:szCs w:val="32"/>
        </w:rPr>
        <w:t>万元、工程类采购</w:t>
      </w:r>
      <w:r>
        <w:rPr>
          <w:rFonts w:hint="eastAsia" w:ascii="仿宋_GB2312" w:hAnsi="宋体"/>
          <w:color w:val="auto"/>
          <w:szCs w:val="32"/>
          <w:lang w:val="en-US" w:eastAsia="zh-CN"/>
        </w:rPr>
        <w:t>0</w:t>
      </w:r>
      <w:r>
        <w:rPr>
          <w:rFonts w:hint="eastAsia" w:ascii="仿宋_GB2312" w:hAnsi="宋体"/>
          <w:color w:val="auto"/>
          <w:szCs w:val="32"/>
        </w:rPr>
        <w:t>万元、服务类采购</w:t>
      </w:r>
      <w:r>
        <w:rPr>
          <w:rFonts w:hint="eastAsia" w:ascii="仿宋_GB2312" w:hAnsi="宋体"/>
          <w:color w:val="auto"/>
          <w:szCs w:val="32"/>
          <w:lang w:val="en-US" w:eastAsia="zh-CN"/>
        </w:rPr>
        <w:t>273.79</w:t>
      </w:r>
      <w:r>
        <w:rPr>
          <w:rFonts w:hint="eastAsia" w:ascii="仿宋_GB2312" w:hAnsi="宋体"/>
          <w:color w:val="auto"/>
          <w:szCs w:val="32"/>
        </w:rPr>
        <w:t>万元。</w:t>
      </w:r>
      <w:r>
        <w:rPr>
          <w:rFonts w:hint="eastAsia" w:ascii="仿宋_GB2312" w:hAnsi="宋体"/>
          <w:color w:val="auto"/>
          <w:szCs w:val="32"/>
          <w:lang w:val="en-US" w:eastAsia="zh-CN"/>
        </w:rPr>
        <w:t>政府采购预算减少的原</w:t>
      </w:r>
      <w:r>
        <w:rPr>
          <w:rFonts w:hint="eastAsia" w:ascii="仿宋_GB2312" w:hAnsi="宋体"/>
          <w:szCs w:val="32"/>
          <w:lang w:val="en-US" w:eastAsia="zh-CN"/>
        </w:rPr>
        <w:t>因是2026年无需采购专用设备。</w:t>
      </w:r>
    </w:p>
    <w:p>
      <w:pPr>
        <w:tabs>
          <w:tab w:val="center" w:pos="4475"/>
        </w:tabs>
        <w:spacing w:line="560" w:lineRule="exact"/>
        <w:ind w:firstLine="645"/>
        <w:rPr>
          <w:rFonts w:hint="eastAsia" w:ascii="楷体_GB2312" w:hAnsi="楷体_GB2312" w:eastAsia="楷体_GB2312" w:cs="楷体_GB2312"/>
          <w:kern w:val="0"/>
          <w:lang w:eastAsia="zh-CN"/>
        </w:rPr>
      </w:pPr>
      <w:r>
        <w:rPr>
          <w:rFonts w:hint="eastAsia" w:ascii="黑体" w:hAnsi="黑体" w:eastAsia="黑体" w:cs="黑体"/>
          <w:kern w:val="0"/>
          <w:lang w:eastAsia="zh-CN"/>
        </w:rPr>
        <w:t>九、</w:t>
      </w:r>
      <w:r>
        <w:rPr>
          <w:rFonts w:hint="eastAsia" w:ascii="黑体" w:hAnsi="黑体" w:eastAsia="黑体" w:cs="黑体"/>
          <w:kern w:val="0"/>
        </w:rPr>
        <w:t>国有资产占用情况说明</w:t>
      </w:r>
    </w:p>
    <w:p>
      <w:pPr>
        <w:tabs>
          <w:tab w:val="center" w:pos="4475"/>
        </w:tabs>
        <w:spacing w:line="560" w:lineRule="exact"/>
        <w:ind w:firstLine="645"/>
        <w:rPr>
          <w:rFonts w:hint="eastAsia" w:ascii="仿宋_GB2312" w:hAnsi="宋体"/>
          <w:b/>
          <w:bCs/>
          <w:szCs w:val="32"/>
          <w:highlight w:val="none"/>
          <w:u w:val="single"/>
        </w:rPr>
      </w:pPr>
      <w:r>
        <w:rPr>
          <w:rFonts w:hint="eastAsia" w:ascii="仿宋_GB2312" w:hAnsi="宋体"/>
          <w:szCs w:val="32"/>
          <w:highlight w:val="none"/>
          <w:lang w:val="en-US" w:eastAsia="zh-CN"/>
        </w:rPr>
        <w:t>截止2025年12月底，制证中心资产总值2742.92万元。其中：银行存款716.66万元；存货1521.12万元；固定资产505.14万元。（由于2025年单位决算正在审核中，最终数据以2025年单位决算公开数据为准。）</w:t>
      </w:r>
    </w:p>
    <w:p>
      <w:pPr>
        <w:tabs>
          <w:tab w:val="center" w:pos="4475"/>
        </w:tabs>
        <w:spacing w:line="560" w:lineRule="exact"/>
        <w:ind w:firstLine="645"/>
        <w:rPr>
          <w:rFonts w:hint="eastAsia" w:ascii="楷体_GB2312" w:hAnsi="楷体_GB2312" w:eastAsia="楷体_GB2312" w:cs="楷体_GB2312"/>
          <w:szCs w:val="32"/>
        </w:rPr>
      </w:pPr>
      <w:r>
        <w:rPr>
          <w:rFonts w:hint="eastAsia" w:ascii="黑体" w:hAnsi="黑体" w:eastAsia="黑体" w:cs="黑体"/>
          <w:szCs w:val="32"/>
          <w:lang w:eastAsia="zh-CN"/>
        </w:rPr>
        <w:t>十、</w:t>
      </w:r>
      <w:r>
        <w:rPr>
          <w:rFonts w:hint="eastAsia" w:ascii="黑体" w:hAnsi="黑体" w:eastAsia="黑体" w:cs="黑体"/>
          <w:szCs w:val="32"/>
        </w:rPr>
        <w:t>预算</w:t>
      </w:r>
      <w:r>
        <w:rPr>
          <w:rFonts w:hint="eastAsia" w:ascii="黑体" w:hAnsi="黑体" w:eastAsia="黑体" w:cs="黑体"/>
          <w:szCs w:val="32"/>
          <w:lang w:eastAsia="zh-CN"/>
        </w:rPr>
        <w:t>项目</w:t>
      </w:r>
      <w:r>
        <w:rPr>
          <w:rFonts w:hint="eastAsia" w:ascii="黑体" w:hAnsi="黑体" w:eastAsia="黑体" w:cs="黑体"/>
          <w:szCs w:val="32"/>
        </w:rPr>
        <w:t>绩效目标情况说明</w:t>
      </w:r>
    </w:p>
    <w:p>
      <w:pPr>
        <w:tabs>
          <w:tab w:val="center" w:pos="4475"/>
        </w:tabs>
        <w:suppressAutoHyphens w:val="0"/>
        <w:autoSpaceDN w:val="0"/>
        <w:spacing w:line="560" w:lineRule="exact"/>
        <w:ind w:firstLine="645"/>
        <w:rPr>
          <w:rFonts w:hint="eastAsia" w:ascii="仿宋_GB2312" w:hAnsi="宋体"/>
          <w:szCs w:val="32"/>
          <w:highlight w:val="none"/>
          <w:lang w:val="en-US" w:eastAsia="zh-CN"/>
        </w:rPr>
      </w:pPr>
      <w:r>
        <w:rPr>
          <w:rFonts w:hint="eastAsia" w:ascii="仿宋_GB2312" w:cs="仿宋_GB2312"/>
          <w:b w:val="0"/>
          <w:bCs w:val="0"/>
          <w:caps w:val="0"/>
          <w:color w:val="auto"/>
          <w:kern w:val="2"/>
          <w:sz w:val="32"/>
          <w:szCs w:val="32"/>
          <w:vertAlign w:val="baseline"/>
          <w:lang w:val="en-US" w:eastAsia="zh-CN" w:bidi="ar"/>
        </w:rPr>
        <w:t>（一）</w:t>
      </w:r>
      <w:r>
        <w:rPr>
          <w:rFonts w:hint="eastAsia" w:ascii="仿宋_GB2312" w:hAnsi="Times New Roman" w:eastAsia="仿宋_GB2312" w:cs="仿宋_GB2312"/>
          <w:b w:val="0"/>
          <w:bCs w:val="0"/>
          <w:caps w:val="0"/>
          <w:color w:val="auto"/>
          <w:kern w:val="2"/>
          <w:sz w:val="32"/>
          <w:szCs w:val="32"/>
          <w:vertAlign w:val="baseline"/>
          <w:lang w:val="en-US" w:eastAsia="zh-CN" w:bidi="ar"/>
        </w:rPr>
        <w:t>我</w:t>
      </w:r>
      <w:r>
        <w:rPr>
          <w:rFonts w:hint="eastAsia" w:ascii="仿宋_GB2312" w:cs="仿宋_GB2312"/>
          <w:b w:val="0"/>
          <w:bCs w:val="0"/>
          <w:caps w:val="0"/>
          <w:color w:val="auto"/>
          <w:kern w:val="2"/>
          <w:sz w:val="32"/>
          <w:szCs w:val="32"/>
          <w:vertAlign w:val="baseline"/>
          <w:lang w:val="en-US" w:eastAsia="zh-CN" w:bidi="ar"/>
        </w:rPr>
        <w:t>单位2026年</w:t>
      </w:r>
      <w:r>
        <w:rPr>
          <w:rFonts w:hint="eastAsia" w:ascii="仿宋_GB2312" w:hAnsi="Times New Roman" w:eastAsia="仿宋_GB2312" w:cs="仿宋_GB2312"/>
          <w:b w:val="0"/>
          <w:bCs w:val="0"/>
          <w:caps w:val="0"/>
          <w:color w:val="auto"/>
          <w:kern w:val="2"/>
          <w:sz w:val="32"/>
          <w:szCs w:val="32"/>
          <w:vertAlign w:val="baseline"/>
          <w:lang w:val="en-US" w:eastAsia="zh-CN" w:bidi="ar"/>
        </w:rPr>
        <w:t>所有项目支出全面实施绩效目标管理，涉及自治区本级项目</w:t>
      </w:r>
      <w:r>
        <w:rPr>
          <w:rFonts w:hint="eastAsia" w:ascii="仿宋_GB2312" w:cs="仿宋_GB2312"/>
          <w:b w:val="0"/>
          <w:bCs w:val="0"/>
          <w:caps w:val="0"/>
          <w:color w:val="auto"/>
          <w:kern w:val="2"/>
          <w:sz w:val="32"/>
          <w:szCs w:val="32"/>
          <w:vertAlign w:val="baseline"/>
          <w:lang w:val="en-US" w:eastAsia="zh-CN" w:bidi="ar"/>
        </w:rPr>
        <w:t>2</w:t>
      </w:r>
      <w:r>
        <w:rPr>
          <w:rFonts w:hint="eastAsia" w:ascii="仿宋_GB2312" w:hAnsi="Times New Roman" w:eastAsia="仿宋_GB2312" w:cs="仿宋_GB2312"/>
          <w:b w:val="0"/>
          <w:bCs w:val="0"/>
          <w:caps w:val="0"/>
          <w:color w:val="auto"/>
          <w:kern w:val="2"/>
          <w:sz w:val="32"/>
          <w:szCs w:val="32"/>
          <w:vertAlign w:val="baseline"/>
          <w:lang w:val="en-US" w:eastAsia="zh-CN" w:bidi="ar"/>
        </w:rPr>
        <w:t>个，预算资金</w:t>
      </w:r>
      <w:r>
        <w:rPr>
          <w:rFonts w:hint="eastAsia" w:ascii="仿宋_GB2312" w:cs="仿宋_GB2312"/>
          <w:b w:val="0"/>
          <w:bCs w:val="0"/>
          <w:caps w:val="0"/>
          <w:color w:val="auto"/>
          <w:kern w:val="2"/>
          <w:sz w:val="32"/>
          <w:szCs w:val="32"/>
          <w:vertAlign w:val="baseline"/>
          <w:lang w:val="en-US" w:eastAsia="zh-CN" w:bidi="ar"/>
        </w:rPr>
        <w:t>420.84</w:t>
      </w:r>
      <w:r>
        <w:rPr>
          <w:rFonts w:hint="eastAsia" w:ascii="仿宋_GB2312" w:hAnsi="Times New Roman" w:eastAsia="仿宋_GB2312" w:cs="仿宋_GB2312"/>
          <w:b w:val="0"/>
          <w:bCs w:val="0"/>
          <w:caps w:val="0"/>
          <w:color w:val="auto"/>
          <w:kern w:val="2"/>
          <w:sz w:val="32"/>
          <w:szCs w:val="32"/>
          <w:vertAlign w:val="baseline"/>
          <w:lang w:val="en-US" w:eastAsia="zh-CN" w:bidi="ar"/>
        </w:rPr>
        <w:t>万元；对下转移支付项目</w:t>
      </w:r>
      <w:r>
        <w:rPr>
          <w:rFonts w:hint="eastAsia" w:ascii="仿宋_GB2312" w:cs="仿宋_GB2312"/>
          <w:b w:val="0"/>
          <w:bCs w:val="0"/>
          <w:caps w:val="0"/>
          <w:color w:val="auto"/>
          <w:kern w:val="2"/>
          <w:sz w:val="32"/>
          <w:szCs w:val="32"/>
          <w:vertAlign w:val="baseline"/>
          <w:lang w:val="en-US" w:eastAsia="zh-CN" w:bidi="ar"/>
        </w:rPr>
        <w:t>0</w:t>
      </w:r>
      <w:r>
        <w:rPr>
          <w:rFonts w:hint="eastAsia" w:ascii="仿宋_GB2312" w:hAnsi="Times New Roman" w:eastAsia="仿宋_GB2312" w:cs="仿宋_GB2312"/>
          <w:b w:val="0"/>
          <w:bCs w:val="0"/>
          <w:caps w:val="0"/>
          <w:color w:val="auto"/>
          <w:kern w:val="2"/>
          <w:sz w:val="32"/>
          <w:szCs w:val="32"/>
          <w:vertAlign w:val="baseline"/>
          <w:lang w:val="en-US" w:eastAsia="zh-CN" w:bidi="ar"/>
        </w:rPr>
        <w:t>个，预算资金</w:t>
      </w:r>
      <w:r>
        <w:rPr>
          <w:rFonts w:hint="eastAsia" w:ascii="仿宋_GB2312" w:cs="仿宋_GB2312"/>
          <w:b w:val="0"/>
          <w:bCs w:val="0"/>
          <w:caps w:val="0"/>
          <w:color w:val="auto"/>
          <w:kern w:val="2"/>
          <w:sz w:val="32"/>
          <w:szCs w:val="32"/>
          <w:vertAlign w:val="baseline"/>
          <w:lang w:val="en-US" w:eastAsia="zh-CN" w:bidi="ar"/>
        </w:rPr>
        <w:t>0</w:t>
      </w:r>
      <w:r>
        <w:rPr>
          <w:rFonts w:hint="eastAsia" w:ascii="仿宋_GB2312" w:hAnsi="Times New Roman" w:eastAsia="仿宋_GB2312" w:cs="仿宋_GB2312"/>
          <w:b w:val="0"/>
          <w:bCs w:val="0"/>
          <w:caps w:val="0"/>
          <w:color w:val="auto"/>
          <w:kern w:val="2"/>
          <w:sz w:val="32"/>
          <w:szCs w:val="32"/>
          <w:vertAlign w:val="baseline"/>
          <w:lang w:val="en-US" w:eastAsia="zh-CN" w:bidi="ar"/>
        </w:rPr>
        <w:t>万元。绩效目标情况详见报表（敏感涉密项目除外）。</w:t>
      </w:r>
    </w:p>
    <w:p>
      <w:pPr>
        <w:tabs>
          <w:tab w:val="center" w:pos="4475"/>
        </w:tabs>
        <w:spacing w:line="560" w:lineRule="exact"/>
        <w:ind w:firstLine="640" w:firstLineChars="200"/>
        <w:rPr>
          <w:rFonts w:hint="default" w:ascii="黑体" w:eastAsia="黑体"/>
          <w:szCs w:val="32"/>
          <w:lang w:val="en-US" w:eastAsia="zh-CN"/>
        </w:rPr>
      </w:pPr>
      <w:r>
        <w:rPr>
          <w:rFonts w:hint="eastAsia" w:ascii="仿宋_GB2312"/>
          <w:sz w:val="32"/>
          <w:szCs w:val="32"/>
          <w:lang w:val="en-US" w:eastAsia="zh-CN"/>
        </w:rPr>
        <w:t>（二）重点项目预算绩效目标说明。</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18"/>
        <w:gridCol w:w="3022"/>
        <w:gridCol w:w="3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8" w:type="dxa"/>
            <w:noWrap w:val="0"/>
            <w:vAlign w:val="top"/>
          </w:tcPr>
          <w:p>
            <w:pPr>
              <w:tabs>
                <w:tab w:val="center" w:pos="4475"/>
              </w:tabs>
              <w:spacing w:line="560" w:lineRule="exact"/>
              <w:jc w:val="center"/>
              <w:rPr>
                <w:rFonts w:hint="eastAsia" w:ascii="仿宋_GB2312" w:hAnsi="仿宋_GB2312" w:eastAsia="仿宋_GB2312" w:cs="仿宋_GB2312"/>
                <w:b/>
                <w:bCs/>
                <w:szCs w:val="32"/>
                <w:vertAlign w:val="baseline"/>
                <w:lang w:eastAsia="zh-CN"/>
              </w:rPr>
            </w:pPr>
            <w:r>
              <w:rPr>
                <w:rFonts w:hint="eastAsia" w:ascii="仿宋_GB2312" w:hAnsi="仿宋_GB2312" w:eastAsia="仿宋_GB2312" w:cs="仿宋_GB2312"/>
                <w:b/>
                <w:bCs/>
                <w:szCs w:val="32"/>
                <w:vertAlign w:val="baseline"/>
                <w:lang w:eastAsia="zh-CN"/>
              </w:rPr>
              <w:t>项目名称</w:t>
            </w:r>
          </w:p>
        </w:tc>
        <w:tc>
          <w:tcPr>
            <w:tcW w:w="3022" w:type="dxa"/>
            <w:noWrap w:val="0"/>
            <w:vAlign w:val="top"/>
          </w:tcPr>
          <w:p>
            <w:pPr>
              <w:tabs>
                <w:tab w:val="center" w:pos="4475"/>
              </w:tabs>
              <w:spacing w:line="560" w:lineRule="exact"/>
              <w:jc w:val="center"/>
              <w:rPr>
                <w:rFonts w:hint="eastAsia" w:ascii="仿宋_GB2312" w:hAnsi="仿宋_GB2312" w:eastAsia="仿宋_GB2312" w:cs="仿宋_GB2312"/>
                <w:b/>
                <w:bCs/>
                <w:szCs w:val="32"/>
                <w:vertAlign w:val="baseline"/>
                <w:lang w:eastAsia="zh-CN"/>
              </w:rPr>
            </w:pPr>
            <w:r>
              <w:rPr>
                <w:rFonts w:hint="eastAsia" w:ascii="仿宋_GB2312" w:hAnsi="仿宋_GB2312" w:eastAsia="仿宋_GB2312" w:cs="仿宋_GB2312"/>
                <w:b/>
                <w:bCs/>
                <w:szCs w:val="32"/>
                <w:vertAlign w:val="baseline"/>
                <w:lang w:eastAsia="zh-CN"/>
              </w:rPr>
              <w:t>预算数（单位：万元）</w:t>
            </w:r>
          </w:p>
        </w:tc>
        <w:tc>
          <w:tcPr>
            <w:tcW w:w="3021" w:type="dxa"/>
            <w:noWrap w:val="0"/>
            <w:vAlign w:val="top"/>
          </w:tcPr>
          <w:p>
            <w:pPr>
              <w:tabs>
                <w:tab w:val="center" w:pos="4475"/>
              </w:tabs>
              <w:spacing w:line="560" w:lineRule="exact"/>
              <w:jc w:val="center"/>
              <w:rPr>
                <w:rFonts w:hint="eastAsia" w:ascii="仿宋_GB2312" w:hAnsi="仿宋_GB2312" w:eastAsia="仿宋_GB2312" w:cs="仿宋_GB2312"/>
                <w:b/>
                <w:bCs/>
                <w:szCs w:val="32"/>
                <w:vertAlign w:val="baseline"/>
                <w:lang w:eastAsia="zh-CN"/>
              </w:rPr>
            </w:pPr>
            <w:r>
              <w:rPr>
                <w:rFonts w:hint="eastAsia" w:ascii="仿宋_GB2312" w:hAnsi="仿宋_GB2312" w:eastAsia="仿宋_GB2312" w:cs="仿宋_GB2312"/>
                <w:b/>
                <w:bCs/>
                <w:szCs w:val="32"/>
                <w:vertAlign w:val="baseline"/>
                <w:lang w:eastAsia="zh-CN"/>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8" w:type="dxa"/>
            <w:noWrap w:val="0"/>
            <w:vAlign w:val="center"/>
          </w:tcPr>
          <w:p>
            <w:pPr>
              <w:tabs>
                <w:tab w:val="center" w:pos="4475"/>
              </w:tabs>
              <w:spacing w:line="560" w:lineRule="exact"/>
              <w:jc w:val="center"/>
              <w:rPr>
                <w:rFonts w:hint="default" w:ascii="仿宋_GB2312" w:hAnsi="仿宋_GB2312" w:eastAsia="仿宋_GB2312" w:cs="仿宋_GB2312"/>
                <w:szCs w:val="32"/>
                <w:vertAlign w:val="baseline"/>
                <w:lang w:eastAsia="zh-CN"/>
              </w:rPr>
            </w:pPr>
            <w:r>
              <w:rPr>
                <w:rFonts w:hint="eastAsia" w:ascii="仿宋_GB2312" w:hAnsi="仿宋_GB2312" w:cs="仿宋_GB2312"/>
                <w:szCs w:val="32"/>
                <w:vertAlign w:val="baseline"/>
                <w:lang w:eastAsia="zh-CN"/>
              </w:rPr>
              <w:t>公安证照制发经费</w:t>
            </w:r>
          </w:p>
        </w:tc>
        <w:tc>
          <w:tcPr>
            <w:tcW w:w="3022" w:type="dxa"/>
            <w:noWrap w:val="0"/>
            <w:vAlign w:val="center"/>
          </w:tcPr>
          <w:p>
            <w:pPr>
              <w:tabs>
                <w:tab w:val="center" w:pos="4475"/>
              </w:tabs>
              <w:spacing w:line="560" w:lineRule="exact"/>
              <w:jc w:val="center"/>
              <w:rPr>
                <w:rFonts w:hint="default" w:ascii="仿宋_GB2312" w:hAnsi="仿宋_GB2312" w:eastAsia="仿宋_GB2312" w:cs="仿宋_GB2312"/>
                <w:szCs w:val="32"/>
                <w:vertAlign w:val="baseline"/>
                <w:lang w:val="en-US"/>
              </w:rPr>
            </w:pPr>
            <w:r>
              <w:rPr>
                <w:rFonts w:hint="eastAsia" w:ascii="仿宋_GB2312" w:hAnsi="仿宋_GB2312" w:cs="仿宋_GB2312"/>
                <w:szCs w:val="32"/>
                <w:vertAlign w:val="baseline"/>
                <w:lang w:val="en-US" w:eastAsia="zh-CN"/>
              </w:rPr>
              <w:t>317.66</w:t>
            </w:r>
          </w:p>
        </w:tc>
        <w:tc>
          <w:tcPr>
            <w:tcW w:w="3021" w:type="dxa"/>
            <w:noWrap w:val="0"/>
            <w:vAlign w:val="center"/>
          </w:tcPr>
          <w:p>
            <w:pPr>
              <w:tabs>
                <w:tab w:val="center" w:pos="4475"/>
              </w:tabs>
              <w:spacing w:line="560" w:lineRule="exact"/>
              <w:jc w:val="center"/>
              <w:rPr>
                <w:rFonts w:hint="default" w:ascii="仿宋_GB2312" w:hAnsi="仿宋_GB2312" w:eastAsia="仿宋_GB2312" w:cs="仿宋_GB2312"/>
                <w:szCs w:val="32"/>
                <w:vertAlign w:val="baseline"/>
              </w:rPr>
            </w:pPr>
            <w:r>
              <w:rPr>
                <w:rFonts w:hint="eastAsia" w:ascii="仿宋_GB2312" w:hAnsi="仿宋_GB2312" w:cs="仿宋_GB2312"/>
                <w:szCs w:val="32"/>
                <w:vertAlign w:val="baseline"/>
                <w:lang w:eastAsia="zh-CN"/>
              </w:rPr>
              <w:t>通过完成制证设备维修保养工作，达成制证车间生产线正常运行、按期按质按量完成我区居民身份证、居住证、出入境证件等证件制发证工作的目标，解决不按期按质按量制发证件的问题。</w:t>
            </w:r>
          </w:p>
        </w:tc>
      </w:tr>
    </w:tbl>
    <w:p>
      <w:pPr>
        <w:tabs>
          <w:tab w:val="center" w:pos="4475"/>
        </w:tabs>
        <w:spacing w:line="560" w:lineRule="exact"/>
        <w:ind w:firstLine="645"/>
        <w:rPr>
          <w:rFonts w:hint="default" w:ascii="仿宋_GB2312" w:hAnsi="宋体"/>
          <w:szCs w:val="32"/>
          <w:lang w:val="en-US" w:eastAsia="zh-CN"/>
        </w:rPr>
      </w:pPr>
      <w:r>
        <w:rPr>
          <w:rFonts w:hint="default" w:ascii="仿宋_GB2312" w:hAnsi="宋体"/>
          <w:szCs w:val="32"/>
          <w:lang w:val="en-US" w:eastAsia="zh-CN"/>
        </w:rPr>
        <w:t>备注：以上项目不含日常运转类项目、工资类人员经费项目、涉密项目及其他不宜公开的项目。</w:t>
      </w:r>
    </w:p>
    <w:p>
      <w:pPr>
        <w:tabs>
          <w:tab w:val="center" w:pos="4475"/>
        </w:tabs>
        <w:spacing w:line="560" w:lineRule="exact"/>
        <w:ind w:firstLine="645"/>
        <w:rPr>
          <w:rFonts w:hint="eastAsia" w:ascii="黑体" w:eastAsia="黑体"/>
          <w:szCs w:val="32"/>
        </w:rPr>
      </w:pPr>
      <w:r>
        <w:rPr>
          <w:rFonts w:hint="eastAsia" w:ascii="黑体" w:eastAsia="黑体"/>
          <w:szCs w:val="32"/>
        </w:rPr>
        <w:t>第三部分：名词解释</w:t>
      </w:r>
    </w:p>
    <w:p>
      <w:pPr>
        <w:numPr>
          <w:ilvl w:val="0"/>
          <w:numId w:val="3"/>
        </w:numPr>
        <w:tabs>
          <w:tab w:val="center" w:pos="4475"/>
        </w:tabs>
        <w:spacing w:line="560" w:lineRule="exact"/>
        <w:ind w:firstLine="645"/>
        <w:rPr>
          <w:rFonts w:hint="eastAsia" w:ascii="仿宋_GB2312" w:hAnsi="宋体"/>
          <w:szCs w:val="32"/>
          <w:lang w:val="en-US" w:eastAsia="zh-CN"/>
        </w:rPr>
      </w:pPr>
      <w:r>
        <w:rPr>
          <w:rFonts w:hint="eastAsia" w:ascii="仿宋_GB2312" w:hAnsi="宋体"/>
          <w:szCs w:val="32"/>
          <w:lang w:val="en-US" w:eastAsia="zh-CN"/>
        </w:rPr>
        <w:t>基本支出：指为保障机构正常运转完</w:t>
      </w:r>
      <w:bookmarkStart w:id="0" w:name="_GoBack"/>
      <w:bookmarkEnd w:id="0"/>
      <w:r>
        <w:rPr>
          <w:rFonts w:hint="eastAsia" w:ascii="仿宋_GB2312" w:hAnsi="宋体"/>
          <w:szCs w:val="32"/>
          <w:lang w:val="en-US" w:eastAsia="zh-CN"/>
        </w:rPr>
        <w:t xml:space="preserve">成日常工作任务而发生的人员支出和定额公用支出。 </w:t>
      </w:r>
    </w:p>
    <w:p>
      <w:pPr>
        <w:tabs>
          <w:tab w:val="center" w:pos="4475"/>
        </w:tabs>
        <w:spacing w:line="560" w:lineRule="exact"/>
        <w:ind w:firstLine="645"/>
        <w:rPr>
          <w:rFonts w:hint="eastAsia" w:ascii="仿宋_GB2312" w:hAnsi="宋体"/>
          <w:szCs w:val="32"/>
          <w:lang w:val="en-US" w:eastAsia="zh-CN"/>
        </w:rPr>
      </w:pPr>
      <w:r>
        <w:rPr>
          <w:rFonts w:hint="eastAsia" w:ascii="仿宋_GB2312" w:hAnsi="宋体"/>
          <w:szCs w:val="32"/>
          <w:lang w:val="en-US" w:eastAsia="zh-CN"/>
        </w:rPr>
        <w:t xml:space="preserve">二、项目支出：指在基本支出之外为完成特定行政任务和事业发展目标所发生的支出。 </w:t>
      </w:r>
    </w:p>
    <w:p>
      <w:pPr>
        <w:tabs>
          <w:tab w:val="center" w:pos="4475"/>
        </w:tabs>
        <w:spacing w:line="560" w:lineRule="exact"/>
        <w:ind w:firstLine="645"/>
        <w:rPr>
          <w:rFonts w:hint="eastAsia" w:ascii="仿宋_GB2312" w:hAnsi="宋体"/>
          <w:szCs w:val="32"/>
          <w:lang w:val="en-US" w:eastAsia="zh-CN"/>
        </w:rPr>
      </w:pPr>
      <w:r>
        <w:rPr>
          <w:rFonts w:hint="eastAsia" w:ascii="仿宋_GB2312" w:hAnsi="宋体"/>
          <w:szCs w:val="32"/>
          <w:lang w:val="en-US" w:eastAsia="zh-CN"/>
        </w:rPr>
        <w:t xml:space="preserve">三、“三公”经费：纳入自治区财政预决算管理的“三公”经费，是指自治区本级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tabs>
          <w:tab w:val="center" w:pos="4475"/>
        </w:tabs>
        <w:snapToGrid w:val="0"/>
        <w:spacing w:line="560" w:lineRule="exact"/>
        <w:rPr>
          <w:rFonts w:hint="eastAsia" w:ascii="仿宋_GB2312"/>
        </w:rPr>
      </w:pPr>
    </w:p>
    <w:p>
      <w:pPr>
        <w:tabs>
          <w:tab w:val="center" w:pos="4475"/>
        </w:tabs>
        <w:spacing w:line="560" w:lineRule="exact"/>
        <w:ind w:firstLine="645"/>
        <w:rPr>
          <w:rFonts w:hint="eastAsia" w:ascii="黑体" w:eastAsia="黑体"/>
          <w:szCs w:val="32"/>
        </w:rPr>
      </w:pPr>
      <w:r>
        <w:rPr>
          <w:rFonts w:hint="eastAsia" w:ascii="黑体" w:eastAsia="黑体"/>
          <w:szCs w:val="32"/>
        </w:rPr>
        <w:t>第四部分：广西壮族自治区公安厅证件制作中心</w:t>
      </w:r>
      <w:r>
        <w:rPr>
          <w:rFonts w:hint="eastAsia" w:ascii="黑体" w:hAnsi="宋体" w:eastAsia="黑体"/>
          <w:szCs w:val="32"/>
          <w:lang w:eastAsia="zh-CN"/>
        </w:rPr>
        <w:t>2026年</w:t>
      </w:r>
      <w:r>
        <w:rPr>
          <w:rFonts w:hint="eastAsia" w:ascii="黑体" w:eastAsia="黑体"/>
          <w:szCs w:val="32"/>
        </w:rPr>
        <w:t>预算公开报表</w:t>
      </w:r>
    </w:p>
    <w:p>
      <w:pPr>
        <w:tabs>
          <w:tab w:val="center" w:pos="4475"/>
        </w:tabs>
        <w:spacing w:line="560" w:lineRule="exact"/>
        <w:ind w:firstLine="645"/>
        <w:rPr>
          <w:rFonts w:hint="eastAsia" w:ascii="仿宋_GB2312" w:hAnsi="宋体"/>
          <w:szCs w:val="32"/>
        </w:rPr>
      </w:pPr>
      <w:r>
        <w:rPr>
          <w:rFonts w:hint="eastAsia" w:ascii="仿宋_GB2312" w:hAnsi="宋体"/>
          <w:szCs w:val="32"/>
        </w:rPr>
        <w:t>广西壮族自治区公安厅证件制作中心</w:t>
      </w:r>
      <w:r>
        <w:rPr>
          <w:rFonts w:hint="eastAsia" w:ascii="仿宋_GB2312" w:hAnsi="宋体"/>
          <w:szCs w:val="32"/>
          <w:lang w:eastAsia="zh-CN"/>
        </w:rPr>
        <w:t>2026年</w:t>
      </w:r>
      <w:r>
        <w:rPr>
          <w:rFonts w:hint="eastAsia" w:ascii="仿宋_GB2312" w:hAnsi="宋体"/>
          <w:szCs w:val="32"/>
        </w:rPr>
        <w:t>预算公开报表</w:t>
      </w:r>
      <w:r>
        <w:rPr>
          <w:rFonts w:hint="eastAsia" w:ascii="仿宋_GB2312" w:hAnsi="宋体"/>
          <w:szCs w:val="32"/>
          <w:lang w:eastAsia="zh-CN"/>
        </w:rPr>
        <w:t>见附件。</w:t>
      </w:r>
    </w:p>
    <w:p>
      <w:pPr>
        <w:tabs>
          <w:tab w:val="center" w:pos="4475"/>
        </w:tabs>
        <w:spacing w:line="560" w:lineRule="exact"/>
        <w:ind w:firstLine="645"/>
        <w:rPr>
          <w:rFonts w:hint="eastAsia" w:ascii="仿宋_GB2312" w:hAnsi="宋体" w:eastAsia="仿宋_GB2312"/>
          <w:szCs w:val="32"/>
          <w:lang w:val="en-US" w:eastAsia="zh-CN"/>
        </w:rPr>
      </w:pPr>
      <w:r>
        <w:rPr>
          <w:rFonts w:hint="eastAsia" w:ascii="仿宋_GB2312" w:hAnsi="宋体"/>
          <w:szCs w:val="32"/>
          <w:lang w:val="en-US" w:eastAsia="zh-CN"/>
        </w:rPr>
        <w:t xml:space="preserve"> </w:t>
      </w:r>
    </w:p>
    <w:sectPr>
      <w:footerReference r:id="rId3" w:type="default"/>
      <w:footerReference r:id="rId4" w:type="even"/>
      <w:pgSz w:w="11906" w:h="16838"/>
      <w:pgMar w:top="2098" w:right="1474" w:bottom="1984" w:left="1587" w:header="851" w:footer="992" w:gutter="0"/>
      <w:pgNumType w:fmt="decimal" w:start="18"/>
      <w:cols w:space="720" w:num="1"/>
      <w:docGrid w:linePitch="634" w:charSpace="-21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ourier New">
    <w:altName w:val="DejaVu Sans"/>
    <w:panose1 w:val="02070309020205020404"/>
    <w:charset w:val="00"/>
    <w:family w:val="modern"/>
    <w:pitch w:val="default"/>
    <w:sig w:usb0="E0002AFF" w:usb1="C0007843" w:usb2="00000009" w:usb3="00000000" w:csb0="400001FF" w:csb1="FFFF0000"/>
  </w:font>
  <w:font w:name="方正小标宋简体">
    <w:panose1 w:val="02000000000000000000"/>
    <w:charset w:val="86"/>
    <w:family w:val="auto"/>
    <w:pitch w:val="default"/>
    <w:sig w:usb0="A00002BF" w:usb1="184F6CFA" w:usb2="00000012" w:usb3="00000000" w:csb0="00040001" w:csb1="00000000"/>
  </w:font>
  <w:font w:name="Arial">
    <w:altName w:val="Times New Roman"/>
    <w:panose1 w:val="020B0604020202020204"/>
    <w:charset w:val="00"/>
    <w:family w:val="swiss"/>
    <w:pitch w:val="default"/>
    <w:sig w:usb0="E0002AFF" w:usb1="C0007843" w:usb2="00000009" w:usb3="00000000" w:csb0="400001FF" w:csb1="FFFF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911225"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911225" cy="1828800"/>
                      </a:xfrm>
                      <a:prstGeom prst="rect">
                        <a:avLst/>
                      </a:prstGeom>
                      <a:noFill/>
                      <a:ln>
                        <a:noFill/>
                      </a:ln>
                    </wps:spPr>
                    <wps:txbx>
                      <w:txbxContent>
                        <w:p>
                          <w:pPr>
                            <w:pStyle w:val="7"/>
                            <w:ind w:firstLine="280" w:firstLineChars="100"/>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19</w:t>
                          </w:r>
                          <w:r>
                            <w:rPr>
                              <w:rFonts w:hint="eastAsia" w:ascii="宋体" w:hAnsi="宋体" w:eastAsia="宋体" w:cs="宋体"/>
                              <w:sz w:val="28"/>
                              <w:szCs w:val="28"/>
                            </w:rPr>
                            <w:fldChar w:fldCharType="end"/>
                          </w:r>
                          <w:r>
                            <w:rPr>
                              <w:rFonts w:hint="eastAsia" w:ascii="宋体" w:hAnsi="宋体" w:eastAsia="宋体" w:cs="宋体"/>
                              <w:sz w:val="28"/>
                              <w:szCs w:val="28"/>
                              <w:lang w:eastAsia="zh-CN"/>
                            </w:rPr>
                            <w:t>—</w:t>
                          </w:r>
                        </w:p>
                      </w:txbxContent>
                    </wps:txbx>
                    <wps:bodyPr vert="horz" wrap="square" lIns="0" tIns="0" rIns="0" bIns="0" anchor="t" anchorCtr="0" upright="0">
                      <a:spAutoFit/>
                    </wps:bodyPr>
                  </wps:wsp>
                </a:graphicData>
              </a:graphic>
            </wp:anchor>
          </w:drawing>
        </mc:Choice>
        <mc:Fallback>
          <w:pict>
            <v:shape id="文本框 3" o:spid="_x0000_s1026" o:spt="202" type="#_x0000_t202" style="position:absolute;left:0pt;margin-top:0pt;height:144pt;width:71.75pt;mso-position-horizontal:outside;mso-position-horizontal-relative:margin;z-index:251659264;mso-width-relative:page;mso-height-relative:page;" filled="f" stroked="f" coordsize="21600,21600" o:gfxdata="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Hzb4SfUAAAABQEAAA8AAAAAAAAAAQAgAAAAOAAAAGRycy9kb3ducmV2LnhtbFBL&#10;AQIUABQAAAAIAIdO4kC71uyF5AEAAL8DAAAOAAAAAAAAAAEAIAAAADkBAABkcnMvZTJvRG9jLnht&#10;bFBLBQYAAAAABgAGAFkBAACPBQAAAAA=&#10;">
              <v:fill on="f" focussize="0,0"/>
              <v:stroke on="f"/>
              <v:imagedata o:title=""/>
              <o:lock v:ext="edit" aspectratio="f"/>
              <v:textbox inset="0mm,0mm,0mm,0mm" style="mso-fit-shape-to-text:t;">
                <w:txbxContent>
                  <w:p>
                    <w:pPr>
                      <w:pStyle w:val="7"/>
                      <w:ind w:firstLine="280" w:firstLineChars="100"/>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19</w:t>
                    </w:r>
                    <w:r>
                      <w:rPr>
                        <w:rFonts w:hint="eastAsia" w:ascii="宋体" w:hAnsi="宋体" w:eastAsia="宋体" w:cs="宋体"/>
                        <w:sz w:val="28"/>
                        <w:szCs w:val="28"/>
                      </w:rPr>
                      <w:fldChar w:fldCharType="end"/>
                    </w:r>
                    <w:r>
                      <w:rPr>
                        <w:rFonts w:hint="eastAsia" w:ascii="宋体" w:hAnsi="宋体" w:eastAsia="宋体" w:cs="宋体"/>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F9D9D2"/>
    <w:multiLevelType w:val="singleLevel"/>
    <w:tmpl w:val="C7F9D9D2"/>
    <w:lvl w:ilvl="0" w:tentative="0">
      <w:start w:val="1"/>
      <w:numFmt w:val="chineseCounting"/>
      <w:suff w:val="nothing"/>
      <w:lvlText w:val="（%1）"/>
      <w:lvlJc w:val="left"/>
      <w:rPr>
        <w:rFonts w:hint="eastAsia"/>
      </w:rPr>
    </w:lvl>
  </w:abstractNum>
  <w:abstractNum w:abstractNumId="1">
    <w:nsid w:val="D67DF77E"/>
    <w:multiLevelType w:val="singleLevel"/>
    <w:tmpl w:val="D67DF77E"/>
    <w:lvl w:ilvl="0" w:tentative="0">
      <w:start w:val="1"/>
      <w:numFmt w:val="chineseCounting"/>
      <w:suff w:val="nothing"/>
      <w:lvlText w:val="%1、"/>
      <w:lvlJc w:val="left"/>
      <w:rPr>
        <w:rFonts w:hint="eastAsia"/>
      </w:rPr>
    </w:lvl>
  </w:abstractNum>
  <w:abstractNum w:abstractNumId="2">
    <w:nsid w:val="7A1E5D17"/>
    <w:multiLevelType w:val="singleLevel"/>
    <w:tmpl w:val="7A1E5D17"/>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55"/>
  <w:drawingGridVerticalSpacing w:val="317"/>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EE9"/>
    <w:rsid w:val="000060B9"/>
    <w:rsid w:val="00007E60"/>
    <w:rsid w:val="00010D80"/>
    <w:rsid w:val="00013FC5"/>
    <w:rsid w:val="000148DA"/>
    <w:rsid w:val="00015197"/>
    <w:rsid w:val="000151F8"/>
    <w:rsid w:val="00015373"/>
    <w:rsid w:val="00015844"/>
    <w:rsid w:val="00015A27"/>
    <w:rsid w:val="00015DB6"/>
    <w:rsid w:val="00016F0A"/>
    <w:rsid w:val="0002203E"/>
    <w:rsid w:val="00022683"/>
    <w:rsid w:val="000264A8"/>
    <w:rsid w:val="0002778C"/>
    <w:rsid w:val="00032004"/>
    <w:rsid w:val="0003234C"/>
    <w:rsid w:val="00033636"/>
    <w:rsid w:val="00034928"/>
    <w:rsid w:val="000367F9"/>
    <w:rsid w:val="0003703B"/>
    <w:rsid w:val="0003742B"/>
    <w:rsid w:val="000431E0"/>
    <w:rsid w:val="0004320C"/>
    <w:rsid w:val="00044411"/>
    <w:rsid w:val="00047236"/>
    <w:rsid w:val="00051922"/>
    <w:rsid w:val="00053233"/>
    <w:rsid w:val="00053585"/>
    <w:rsid w:val="00055554"/>
    <w:rsid w:val="00056171"/>
    <w:rsid w:val="00056F20"/>
    <w:rsid w:val="00057CA7"/>
    <w:rsid w:val="00057D74"/>
    <w:rsid w:val="00064C16"/>
    <w:rsid w:val="00065B65"/>
    <w:rsid w:val="0006724F"/>
    <w:rsid w:val="00067DB2"/>
    <w:rsid w:val="00070AED"/>
    <w:rsid w:val="00072F64"/>
    <w:rsid w:val="00073012"/>
    <w:rsid w:val="00075288"/>
    <w:rsid w:val="00076467"/>
    <w:rsid w:val="00082659"/>
    <w:rsid w:val="000860A8"/>
    <w:rsid w:val="0008706C"/>
    <w:rsid w:val="000875C7"/>
    <w:rsid w:val="0009096A"/>
    <w:rsid w:val="00090BDD"/>
    <w:rsid w:val="00091713"/>
    <w:rsid w:val="00091CA3"/>
    <w:rsid w:val="0009451B"/>
    <w:rsid w:val="00097627"/>
    <w:rsid w:val="000A08BA"/>
    <w:rsid w:val="000A0E14"/>
    <w:rsid w:val="000A3A62"/>
    <w:rsid w:val="000A3DCB"/>
    <w:rsid w:val="000A6FB7"/>
    <w:rsid w:val="000B21C1"/>
    <w:rsid w:val="000C124D"/>
    <w:rsid w:val="000C140F"/>
    <w:rsid w:val="000C21E0"/>
    <w:rsid w:val="000C4124"/>
    <w:rsid w:val="000C5FCD"/>
    <w:rsid w:val="000C740A"/>
    <w:rsid w:val="000D268D"/>
    <w:rsid w:val="000D3698"/>
    <w:rsid w:val="000D5A0E"/>
    <w:rsid w:val="000D7186"/>
    <w:rsid w:val="000D71B2"/>
    <w:rsid w:val="000E1684"/>
    <w:rsid w:val="000E225F"/>
    <w:rsid w:val="000F1E3D"/>
    <w:rsid w:val="000F47FC"/>
    <w:rsid w:val="00101350"/>
    <w:rsid w:val="00101B18"/>
    <w:rsid w:val="001050DB"/>
    <w:rsid w:val="00106218"/>
    <w:rsid w:val="00106F58"/>
    <w:rsid w:val="0011108B"/>
    <w:rsid w:val="00114358"/>
    <w:rsid w:val="00114A70"/>
    <w:rsid w:val="001201FD"/>
    <w:rsid w:val="001208E4"/>
    <w:rsid w:val="00130211"/>
    <w:rsid w:val="001306E3"/>
    <w:rsid w:val="0013117E"/>
    <w:rsid w:val="0013209C"/>
    <w:rsid w:val="00133D08"/>
    <w:rsid w:val="00134527"/>
    <w:rsid w:val="00134936"/>
    <w:rsid w:val="00136E45"/>
    <w:rsid w:val="00140594"/>
    <w:rsid w:val="00140B5D"/>
    <w:rsid w:val="0014199E"/>
    <w:rsid w:val="00143EF5"/>
    <w:rsid w:val="00143FB2"/>
    <w:rsid w:val="00146AE4"/>
    <w:rsid w:val="00150008"/>
    <w:rsid w:val="001509EA"/>
    <w:rsid w:val="00155B29"/>
    <w:rsid w:val="00156031"/>
    <w:rsid w:val="00161994"/>
    <w:rsid w:val="00163B9A"/>
    <w:rsid w:val="00165235"/>
    <w:rsid w:val="00167133"/>
    <w:rsid w:val="00174035"/>
    <w:rsid w:val="001741FE"/>
    <w:rsid w:val="00175D3D"/>
    <w:rsid w:val="001808B0"/>
    <w:rsid w:val="00184BA7"/>
    <w:rsid w:val="00185309"/>
    <w:rsid w:val="001869CE"/>
    <w:rsid w:val="00187310"/>
    <w:rsid w:val="00192C28"/>
    <w:rsid w:val="00192F2C"/>
    <w:rsid w:val="00195476"/>
    <w:rsid w:val="00196600"/>
    <w:rsid w:val="001970FF"/>
    <w:rsid w:val="001A2D5D"/>
    <w:rsid w:val="001A5275"/>
    <w:rsid w:val="001A68DA"/>
    <w:rsid w:val="001B07AF"/>
    <w:rsid w:val="001B2CB4"/>
    <w:rsid w:val="001B398E"/>
    <w:rsid w:val="001B6EE7"/>
    <w:rsid w:val="001B7263"/>
    <w:rsid w:val="001C1620"/>
    <w:rsid w:val="001C1B0E"/>
    <w:rsid w:val="001C530B"/>
    <w:rsid w:val="001C545B"/>
    <w:rsid w:val="001C5D93"/>
    <w:rsid w:val="001C7B74"/>
    <w:rsid w:val="001D024F"/>
    <w:rsid w:val="001D5472"/>
    <w:rsid w:val="001E44AD"/>
    <w:rsid w:val="001E524D"/>
    <w:rsid w:val="001E6974"/>
    <w:rsid w:val="001F10EE"/>
    <w:rsid w:val="001F15C5"/>
    <w:rsid w:val="001F2E8F"/>
    <w:rsid w:val="001F3D52"/>
    <w:rsid w:val="001F6F1D"/>
    <w:rsid w:val="0020115D"/>
    <w:rsid w:val="00201FAC"/>
    <w:rsid w:val="0020218D"/>
    <w:rsid w:val="00204386"/>
    <w:rsid w:val="00205036"/>
    <w:rsid w:val="002077E2"/>
    <w:rsid w:val="00207CEC"/>
    <w:rsid w:val="00211820"/>
    <w:rsid w:val="00212363"/>
    <w:rsid w:val="00216663"/>
    <w:rsid w:val="00217700"/>
    <w:rsid w:val="0021777E"/>
    <w:rsid w:val="002205AB"/>
    <w:rsid w:val="00223E8B"/>
    <w:rsid w:val="00223F72"/>
    <w:rsid w:val="002268F5"/>
    <w:rsid w:val="00230944"/>
    <w:rsid w:val="00230A4D"/>
    <w:rsid w:val="002310A6"/>
    <w:rsid w:val="00233FB8"/>
    <w:rsid w:val="002340F3"/>
    <w:rsid w:val="0023579A"/>
    <w:rsid w:val="00236095"/>
    <w:rsid w:val="00236E2F"/>
    <w:rsid w:val="0024342D"/>
    <w:rsid w:val="0024522A"/>
    <w:rsid w:val="00246262"/>
    <w:rsid w:val="00246281"/>
    <w:rsid w:val="0024743A"/>
    <w:rsid w:val="002517DE"/>
    <w:rsid w:val="002576F9"/>
    <w:rsid w:val="00260107"/>
    <w:rsid w:val="00261B8D"/>
    <w:rsid w:val="00261D31"/>
    <w:rsid w:val="00263BDD"/>
    <w:rsid w:val="00263FEA"/>
    <w:rsid w:val="00264C3D"/>
    <w:rsid w:val="00264EAE"/>
    <w:rsid w:val="00265C0D"/>
    <w:rsid w:val="00266514"/>
    <w:rsid w:val="00266640"/>
    <w:rsid w:val="0026673E"/>
    <w:rsid w:val="00266839"/>
    <w:rsid w:val="00267FC2"/>
    <w:rsid w:val="00272D82"/>
    <w:rsid w:val="00273673"/>
    <w:rsid w:val="00273AAB"/>
    <w:rsid w:val="0027442A"/>
    <w:rsid w:val="00275E2D"/>
    <w:rsid w:val="00276F13"/>
    <w:rsid w:val="00276FE4"/>
    <w:rsid w:val="00277C96"/>
    <w:rsid w:val="00287008"/>
    <w:rsid w:val="002879DF"/>
    <w:rsid w:val="0029213B"/>
    <w:rsid w:val="00292964"/>
    <w:rsid w:val="00294176"/>
    <w:rsid w:val="0029483C"/>
    <w:rsid w:val="00294957"/>
    <w:rsid w:val="002965F8"/>
    <w:rsid w:val="002A2B5D"/>
    <w:rsid w:val="002A435F"/>
    <w:rsid w:val="002A57C2"/>
    <w:rsid w:val="002A7ED2"/>
    <w:rsid w:val="002B05EA"/>
    <w:rsid w:val="002B1411"/>
    <w:rsid w:val="002B5B95"/>
    <w:rsid w:val="002B6832"/>
    <w:rsid w:val="002C0654"/>
    <w:rsid w:val="002C260B"/>
    <w:rsid w:val="002C2EA9"/>
    <w:rsid w:val="002C4C06"/>
    <w:rsid w:val="002D1D93"/>
    <w:rsid w:val="002D1F3F"/>
    <w:rsid w:val="002D53A3"/>
    <w:rsid w:val="002D6195"/>
    <w:rsid w:val="002D6D45"/>
    <w:rsid w:val="002E125A"/>
    <w:rsid w:val="002E15BD"/>
    <w:rsid w:val="002E188C"/>
    <w:rsid w:val="002E332C"/>
    <w:rsid w:val="002E39BC"/>
    <w:rsid w:val="002E44AF"/>
    <w:rsid w:val="002E52E3"/>
    <w:rsid w:val="002E547C"/>
    <w:rsid w:val="002E5613"/>
    <w:rsid w:val="002E5BD8"/>
    <w:rsid w:val="002F05B1"/>
    <w:rsid w:val="002F49F8"/>
    <w:rsid w:val="002F5297"/>
    <w:rsid w:val="003005A3"/>
    <w:rsid w:val="00305E4B"/>
    <w:rsid w:val="00307AD8"/>
    <w:rsid w:val="003113A6"/>
    <w:rsid w:val="00313806"/>
    <w:rsid w:val="00314B8F"/>
    <w:rsid w:val="00315F5F"/>
    <w:rsid w:val="00316279"/>
    <w:rsid w:val="003176F2"/>
    <w:rsid w:val="003206D6"/>
    <w:rsid w:val="0032137E"/>
    <w:rsid w:val="0032186E"/>
    <w:rsid w:val="003225F9"/>
    <w:rsid w:val="00324991"/>
    <w:rsid w:val="00326E2C"/>
    <w:rsid w:val="003273DA"/>
    <w:rsid w:val="00327A01"/>
    <w:rsid w:val="0033087A"/>
    <w:rsid w:val="00330AFF"/>
    <w:rsid w:val="003322C1"/>
    <w:rsid w:val="0033249D"/>
    <w:rsid w:val="00335DD3"/>
    <w:rsid w:val="00337F81"/>
    <w:rsid w:val="00342E99"/>
    <w:rsid w:val="00343405"/>
    <w:rsid w:val="00347034"/>
    <w:rsid w:val="00352FEC"/>
    <w:rsid w:val="00353F27"/>
    <w:rsid w:val="0035772E"/>
    <w:rsid w:val="00361026"/>
    <w:rsid w:val="003616E6"/>
    <w:rsid w:val="00361A65"/>
    <w:rsid w:val="00361CC1"/>
    <w:rsid w:val="0036451B"/>
    <w:rsid w:val="00376E5F"/>
    <w:rsid w:val="00392ED7"/>
    <w:rsid w:val="0039575A"/>
    <w:rsid w:val="00396736"/>
    <w:rsid w:val="0039769D"/>
    <w:rsid w:val="003A0370"/>
    <w:rsid w:val="003A0425"/>
    <w:rsid w:val="003A0FA8"/>
    <w:rsid w:val="003A23A5"/>
    <w:rsid w:val="003A7AC4"/>
    <w:rsid w:val="003B1D70"/>
    <w:rsid w:val="003B2CDC"/>
    <w:rsid w:val="003B4C9D"/>
    <w:rsid w:val="003B7568"/>
    <w:rsid w:val="003C5741"/>
    <w:rsid w:val="003C6EDC"/>
    <w:rsid w:val="003D3514"/>
    <w:rsid w:val="003D4EE4"/>
    <w:rsid w:val="003D71A3"/>
    <w:rsid w:val="003E1840"/>
    <w:rsid w:val="003E3511"/>
    <w:rsid w:val="003F37DB"/>
    <w:rsid w:val="003F3FE1"/>
    <w:rsid w:val="00403918"/>
    <w:rsid w:val="00404197"/>
    <w:rsid w:val="00406E73"/>
    <w:rsid w:val="00407DBD"/>
    <w:rsid w:val="00413B84"/>
    <w:rsid w:val="00416D29"/>
    <w:rsid w:val="004215AD"/>
    <w:rsid w:val="004219B6"/>
    <w:rsid w:val="0042680A"/>
    <w:rsid w:val="0042726F"/>
    <w:rsid w:val="00427D28"/>
    <w:rsid w:val="00430060"/>
    <w:rsid w:val="00431DA7"/>
    <w:rsid w:val="00435BC8"/>
    <w:rsid w:val="004376CB"/>
    <w:rsid w:val="00437F2A"/>
    <w:rsid w:val="00441D96"/>
    <w:rsid w:val="0044201B"/>
    <w:rsid w:val="00444F7D"/>
    <w:rsid w:val="004460E7"/>
    <w:rsid w:val="004506F7"/>
    <w:rsid w:val="00451A5D"/>
    <w:rsid w:val="00452E0C"/>
    <w:rsid w:val="00455F54"/>
    <w:rsid w:val="0045649A"/>
    <w:rsid w:val="00456AF8"/>
    <w:rsid w:val="00461C08"/>
    <w:rsid w:val="0046237E"/>
    <w:rsid w:val="0046348B"/>
    <w:rsid w:val="004637D9"/>
    <w:rsid w:val="00470269"/>
    <w:rsid w:val="00472546"/>
    <w:rsid w:val="00472BDD"/>
    <w:rsid w:val="004735E9"/>
    <w:rsid w:val="00483AFF"/>
    <w:rsid w:val="004859ED"/>
    <w:rsid w:val="00491ED1"/>
    <w:rsid w:val="00494941"/>
    <w:rsid w:val="00495645"/>
    <w:rsid w:val="0049762C"/>
    <w:rsid w:val="004A39D5"/>
    <w:rsid w:val="004A5425"/>
    <w:rsid w:val="004A6DA6"/>
    <w:rsid w:val="004A74B3"/>
    <w:rsid w:val="004A7834"/>
    <w:rsid w:val="004B1D29"/>
    <w:rsid w:val="004B2571"/>
    <w:rsid w:val="004B2910"/>
    <w:rsid w:val="004B6415"/>
    <w:rsid w:val="004C02AB"/>
    <w:rsid w:val="004C189F"/>
    <w:rsid w:val="004C1D46"/>
    <w:rsid w:val="004C2E28"/>
    <w:rsid w:val="004C5205"/>
    <w:rsid w:val="004C643A"/>
    <w:rsid w:val="004C7613"/>
    <w:rsid w:val="004D03F4"/>
    <w:rsid w:val="004D03F8"/>
    <w:rsid w:val="004D2C3E"/>
    <w:rsid w:val="004D2D98"/>
    <w:rsid w:val="004D4578"/>
    <w:rsid w:val="004D5610"/>
    <w:rsid w:val="004D6E3F"/>
    <w:rsid w:val="004E2773"/>
    <w:rsid w:val="004E2FA4"/>
    <w:rsid w:val="004E4363"/>
    <w:rsid w:val="004E51E5"/>
    <w:rsid w:val="004F21A8"/>
    <w:rsid w:val="004F2CEC"/>
    <w:rsid w:val="004F2F3C"/>
    <w:rsid w:val="004F50E9"/>
    <w:rsid w:val="004F6386"/>
    <w:rsid w:val="004F6E34"/>
    <w:rsid w:val="004F74D3"/>
    <w:rsid w:val="005012A6"/>
    <w:rsid w:val="005027E2"/>
    <w:rsid w:val="00502928"/>
    <w:rsid w:val="0050379E"/>
    <w:rsid w:val="00504A6E"/>
    <w:rsid w:val="0050595F"/>
    <w:rsid w:val="0050645D"/>
    <w:rsid w:val="00506818"/>
    <w:rsid w:val="00511F7E"/>
    <w:rsid w:val="00517CEF"/>
    <w:rsid w:val="0052040A"/>
    <w:rsid w:val="0052052B"/>
    <w:rsid w:val="00524866"/>
    <w:rsid w:val="00525C3C"/>
    <w:rsid w:val="0052631F"/>
    <w:rsid w:val="0053063F"/>
    <w:rsid w:val="005351FB"/>
    <w:rsid w:val="005407E2"/>
    <w:rsid w:val="00541D4F"/>
    <w:rsid w:val="00542E67"/>
    <w:rsid w:val="00543FFB"/>
    <w:rsid w:val="00544138"/>
    <w:rsid w:val="005442BA"/>
    <w:rsid w:val="0054450A"/>
    <w:rsid w:val="0054511F"/>
    <w:rsid w:val="0054735F"/>
    <w:rsid w:val="005514D6"/>
    <w:rsid w:val="00552308"/>
    <w:rsid w:val="00552466"/>
    <w:rsid w:val="00552CE9"/>
    <w:rsid w:val="00553DD4"/>
    <w:rsid w:val="00556F51"/>
    <w:rsid w:val="005626F8"/>
    <w:rsid w:val="005661FC"/>
    <w:rsid w:val="0057144F"/>
    <w:rsid w:val="00573C5E"/>
    <w:rsid w:val="00574525"/>
    <w:rsid w:val="00574B09"/>
    <w:rsid w:val="00575B8B"/>
    <w:rsid w:val="00580764"/>
    <w:rsid w:val="0058159D"/>
    <w:rsid w:val="00584216"/>
    <w:rsid w:val="00591654"/>
    <w:rsid w:val="00593441"/>
    <w:rsid w:val="00594A3A"/>
    <w:rsid w:val="0059576C"/>
    <w:rsid w:val="005A0A21"/>
    <w:rsid w:val="005A1F48"/>
    <w:rsid w:val="005A348C"/>
    <w:rsid w:val="005A6DAF"/>
    <w:rsid w:val="005A770F"/>
    <w:rsid w:val="005B7504"/>
    <w:rsid w:val="005B7623"/>
    <w:rsid w:val="005C3D2A"/>
    <w:rsid w:val="005C52C8"/>
    <w:rsid w:val="005D045C"/>
    <w:rsid w:val="005D16AC"/>
    <w:rsid w:val="005D2E98"/>
    <w:rsid w:val="005D4BBC"/>
    <w:rsid w:val="005D55EE"/>
    <w:rsid w:val="005E10C8"/>
    <w:rsid w:val="005E164C"/>
    <w:rsid w:val="005E2940"/>
    <w:rsid w:val="005E480F"/>
    <w:rsid w:val="005E4B73"/>
    <w:rsid w:val="005E528E"/>
    <w:rsid w:val="005F3B3A"/>
    <w:rsid w:val="005F563D"/>
    <w:rsid w:val="005F5715"/>
    <w:rsid w:val="005F7A08"/>
    <w:rsid w:val="00600D7B"/>
    <w:rsid w:val="00603346"/>
    <w:rsid w:val="006034CA"/>
    <w:rsid w:val="00605995"/>
    <w:rsid w:val="006069EC"/>
    <w:rsid w:val="00607080"/>
    <w:rsid w:val="0061134B"/>
    <w:rsid w:val="00612E7E"/>
    <w:rsid w:val="006164EA"/>
    <w:rsid w:val="00617364"/>
    <w:rsid w:val="00625B6B"/>
    <w:rsid w:val="006278FD"/>
    <w:rsid w:val="0063115F"/>
    <w:rsid w:val="00631D5F"/>
    <w:rsid w:val="0063305C"/>
    <w:rsid w:val="006372C8"/>
    <w:rsid w:val="00637A73"/>
    <w:rsid w:val="0064095F"/>
    <w:rsid w:val="006464FA"/>
    <w:rsid w:val="00646A3F"/>
    <w:rsid w:val="00646D78"/>
    <w:rsid w:val="00650E9D"/>
    <w:rsid w:val="006628F0"/>
    <w:rsid w:val="006632E2"/>
    <w:rsid w:val="00664C92"/>
    <w:rsid w:val="0066545E"/>
    <w:rsid w:val="00665E00"/>
    <w:rsid w:val="0066753C"/>
    <w:rsid w:val="006723A9"/>
    <w:rsid w:val="00673644"/>
    <w:rsid w:val="006739E3"/>
    <w:rsid w:val="006764C0"/>
    <w:rsid w:val="0067655F"/>
    <w:rsid w:val="0068082F"/>
    <w:rsid w:val="00687920"/>
    <w:rsid w:val="00693DFF"/>
    <w:rsid w:val="00695A4D"/>
    <w:rsid w:val="00696ADB"/>
    <w:rsid w:val="00697085"/>
    <w:rsid w:val="006976AE"/>
    <w:rsid w:val="006A0F3A"/>
    <w:rsid w:val="006A1817"/>
    <w:rsid w:val="006A22D3"/>
    <w:rsid w:val="006A4359"/>
    <w:rsid w:val="006B02DE"/>
    <w:rsid w:val="006B1C84"/>
    <w:rsid w:val="006B5795"/>
    <w:rsid w:val="006C04C2"/>
    <w:rsid w:val="006C5581"/>
    <w:rsid w:val="006C603C"/>
    <w:rsid w:val="006C6C4C"/>
    <w:rsid w:val="006D0351"/>
    <w:rsid w:val="006D0934"/>
    <w:rsid w:val="006D2100"/>
    <w:rsid w:val="006E5A4E"/>
    <w:rsid w:val="006E5B08"/>
    <w:rsid w:val="006E7D56"/>
    <w:rsid w:val="006F3051"/>
    <w:rsid w:val="006F3052"/>
    <w:rsid w:val="006F4D1A"/>
    <w:rsid w:val="006F5E1F"/>
    <w:rsid w:val="007003C2"/>
    <w:rsid w:val="00702FF3"/>
    <w:rsid w:val="007049CA"/>
    <w:rsid w:val="007055CF"/>
    <w:rsid w:val="00713796"/>
    <w:rsid w:val="00714E9E"/>
    <w:rsid w:val="00715E45"/>
    <w:rsid w:val="00717AF3"/>
    <w:rsid w:val="007215B5"/>
    <w:rsid w:val="00721CA1"/>
    <w:rsid w:val="00721ED1"/>
    <w:rsid w:val="00723F8A"/>
    <w:rsid w:val="0072530A"/>
    <w:rsid w:val="00726F46"/>
    <w:rsid w:val="007320C2"/>
    <w:rsid w:val="00732910"/>
    <w:rsid w:val="00735EC2"/>
    <w:rsid w:val="00741AD2"/>
    <w:rsid w:val="007440FD"/>
    <w:rsid w:val="00750313"/>
    <w:rsid w:val="00751D29"/>
    <w:rsid w:val="00754102"/>
    <w:rsid w:val="00754465"/>
    <w:rsid w:val="00754A58"/>
    <w:rsid w:val="00756A64"/>
    <w:rsid w:val="00756FD2"/>
    <w:rsid w:val="00760E6D"/>
    <w:rsid w:val="007623EB"/>
    <w:rsid w:val="00762CA2"/>
    <w:rsid w:val="007651F4"/>
    <w:rsid w:val="007661D7"/>
    <w:rsid w:val="0076624C"/>
    <w:rsid w:val="0076789A"/>
    <w:rsid w:val="00770CE1"/>
    <w:rsid w:val="00771B1B"/>
    <w:rsid w:val="00771FF4"/>
    <w:rsid w:val="00772169"/>
    <w:rsid w:val="00773612"/>
    <w:rsid w:val="007736FA"/>
    <w:rsid w:val="00774813"/>
    <w:rsid w:val="0077697B"/>
    <w:rsid w:val="00781069"/>
    <w:rsid w:val="00781884"/>
    <w:rsid w:val="007824F6"/>
    <w:rsid w:val="0078300C"/>
    <w:rsid w:val="0078547B"/>
    <w:rsid w:val="00785707"/>
    <w:rsid w:val="00786022"/>
    <w:rsid w:val="00794F21"/>
    <w:rsid w:val="007A0E05"/>
    <w:rsid w:val="007A0F76"/>
    <w:rsid w:val="007A1FBB"/>
    <w:rsid w:val="007A2E6F"/>
    <w:rsid w:val="007A3E70"/>
    <w:rsid w:val="007A792C"/>
    <w:rsid w:val="007A7CC8"/>
    <w:rsid w:val="007B3250"/>
    <w:rsid w:val="007B5B90"/>
    <w:rsid w:val="007C0AD5"/>
    <w:rsid w:val="007C0D06"/>
    <w:rsid w:val="007C3E74"/>
    <w:rsid w:val="007C5287"/>
    <w:rsid w:val="007C57FF"/>
    <w:rsid w:val="007D0B5A"/>
    <w:rsid w:val="007D0FCD"/>
    <w:rsid w:val="007D1478"/>
    <w:rsid w:val="007D3797"/>
    <w:rsid w:val="007D46B6"/>
    <w:rsid w:val="007D5D2B"/>
    <w:rsid w:val="007D5EC0"/>
    <w:rsid w:val="007D7A78"/>
    <w:rsid w:val="007E418A"/>
    <w:rsid w:val="007E41C6"/>
    <w:rsid w:val="007E4D05"/>
    <w:rsid w:val="007F065C"/>
    <w:rsid w:val="007F370F"/>
    <w:rsid w:val="007F7591"/>
    <w:rsid w:val="00801B0F"/>
    <w:rsid w:val="00804D92"/>
    <w:rsid w:val="00812633"/>
    <w:rsid w:val="008127A1"/>
    <w:rsid w:val="00812CDE"/>
    <w:rsid w:val="00816031"/>
    <w:rsid w:val="00816059"/>
    <w:rsid w:val="00816170"/>
    <w:rsid w:val="00817F50"/>
    <w:rsid w:val="008201F0"/>
    <w:rsid w:val="00820491"/>
    <w:rsid w:val="00822C8B"/>
    <w:rsid w:val="00824D7A"/>
    <w:rsid w:val="00826A4E"/>
    <w:rsid w:val="00826F98"/>
    <w:rsid w:val="0082747B"/>
    <w:rsid w:val="00830B1F"/>
    <w:rsid w:val="00830F36"/>
    <w:rsid w:val="00832A28"/>
    <w:rsid w:val="00835925"/>
    <w:rsid w:val="008373B9"/>
    <w:rsid w:val="0084027F"/>
    <w:rsid w:val="0084226A"/>
    <w:rsid w:val="00845B2E"/>
    <w:rsid w:val="008467D1"/>
    <w:rsid w:val="00846B02"/>
    <w:rsid w:val="0085052A"/>
    <w:rsid w:val="008505D1"/>
    <w:rsid w:val="00851D97"/>
    <w:rsid w:val="00851ED3"/>
    <w:rsid w:val="00853369"/>
    <w:rsid w:val="00860CC8"/>
    <w:rsid w:val="008631E9"/>
    <w:rsid w:val="00864002"/>
    <w:rsid w:val="00864B30"/>
    <w:rsid w:val="0086552B"/>
    <w:rsid w:val="008667D3"/>
    <w:rsid w:val="00872478"/>
    <w:rsid w:val="00876D94"/>
    <w:rsid w:val="00877DB0"/>
    <w:rsid w:val="0088264A"/>
    <w:rsid w:val="00886FAD"/>
    <w:rsid w:val="0089088E"/>
    <w:rsid w:val="00890939"/>
    <w:rsid w:val="00894696"/>
    <w:rsid w:val="00896C77"/>
    <w:rsid w:val="0089741C"/>
    <w:rsid w:val="008A582D"/>
    <w:rsid w:val="008B4114"/>
    <w:rsid w:val="008B4958"/>
    <w:rsid w:val="008B4A4A"/>
    <w:rsid w:val="008B70FC"/>
    <w:rsid w:val="008B7D63"/>
    <w:rsid w:val="008C31BC"/>
    <w:rsid w:val="008C330B"/>
    <w:rsid w:val="008C337A"/>
    <w:rsid w:val="008C4401"/>
    <w:rsid w:val="008D016B"/>
    <w:rsid w:val="008D22D3"/>
    <w:rsid w:val="008D2DEA"/>
    <w:rsid w:val="008D2EC3"/>
    <w:rsid w:val="008D49ED"/>
    <w:rsid w:val="008D4D40"/>
    <w:rsid w:val="008D6E6F"/>
    <w:rsid w:val="008E196B"/>
    <w:rsid w:val="008E2412"/>
    <w:rsid w:val="008E4E2A"/>
    <w:rsid w:val="008E64FD"/>
    <w:rsid w:val="008E72EE"/>
    <w:rsid w:val="008E736E"/>
    <w:rsid w:val="008F0CC3"/>
    <w:rsid w:val="008F184F"/>
    <w:rsid w:val="008F2C46"/>
    <w:rsid w:val="008F4902"/>
    <w:rsid w:val="008F5C51"/>
    <w:rsid w:val="0090042C"/>
    <w:rsid w:val="0090046A"/>
    <w:rsid w:val="00907738"/>
    <w:rsid w:val="00910E47"/>
    <w:rsid w:val="009118A1"/>
    <w:rsid w:val="009143D7"/>
    <w:rsid w:val="009152D7"/>
    <w:rsid w:val="00920C7F"/>
    <w:rsid w:val="009220BA"/>
    <w:rsid w:val="009251D0"/>
    <w:rsid w:val="0092548A"/>
    <w:rsid w:val="009263FB"/>
    <w:rsid w:val="009273E1"/>
    <w:rsid w:val="00930E53"/>
    <w:rsid w:val="009318AE"/>
    <w:rsid w:val="00932E31"/>
    <w:rsid w:val="0093509C"/>
    <w:rsid w:val="0093516D"/>
    <w:rsid w:val="00937239"/>
    <w:rsid w:val="00942FF6"/>
    <w:rsid w:val="009444C0"/>
    <w:rsid w:val="00950A29"/>
    <w:rsid w:val="0095156E"/>
    <w:rsid w:val="00953B32"/>
    <w:rsid w:val="009569D2"/>
    <w:rsid w:val="00962FF7"/>
    <w:rsid w:val="00971168"/>
    <w:rsid w:val="00975BA5"/>
    <w:rsid w:val="00976006"/>
    <w:rsid w:val="00976940"/>
    <w:rsid w:val="00981064"/>
    <w:rsid w:val="00982BBD"/>
    <w:rsid w:val="00984D24"/>
    <w:rsid w:val="0098594C"/>
    <w:rsid w:val="00985E87"/>
    <w:rsid w:val="00986A35"/>
    <w:rsid w:val="00990A43"/>
    <w:rsid w:val="00991F23"/>
    <w:rsid w:val="00991F9B"/>
    <w:rsid w:val="00992D90"/>
    <w:rsid w:val="00994991"/>
    <w:rsid w:val="00995A32"/>
    <w:rsid w:val="009961F4"/>
    <w:rsid w:val="009A242E"/>
    <w:rsid w:val="009A755D"/>
    <w:rsid w:val="009B525B"/>
    <w:rsid w:val="009B6AF2"/>
    <w:rsid w:val="009B6B8F"/>
    <w:rsid w:val="009C00D2"/>
    <w:rsid w:val="009C2FBB"/>
    <w:rsid w:val="009C4D4E"/>
    <w:rsid w:val="009C623A"/>
    <w:rsid w:val="009D0D17"/>
    <w:rsid w:val="009D268D"/>
    <w:rsid w:val="009D274C"/>
    <w:rsid w:val="009D53C7"/>
    <w:rsid w:val="009D5C89"/>
    <w:rsid w:val="009D66EB"/>
    <w:rsid w:val="009D6EDA"/>
    <w:rsid w:val="009D6F56"/>
    <w:rsid w:val="009E0412"/>
    <w:rsid w:val="009E04EC"/>
    <w:rsid w:val="009E1100"/>
    <w:rsid w:val="009E12D7"/>
    <w:rsid w:val="009E40F9"/>
    <w:rsid w:val="009E552D"/>
    <w:rsid w:val="009E6B08"/>
    <w:rsid w:val="009E6BBC"/>
    <w:rsid w:val="009E7BD3"/>
    <w:rsid w:val="009F2BB0"/>
    <w:rsid w:val="009F409F"/>
    <w:rsid w:val="009F4BA6"/>
    <w:rsid w:val="009F64CC"/>
    <w:rsid w:val="00A0182F"/>
    <w:rsid w:val="00A056AA"/>
    <w:rsid w:val="00A05B23"/>
    <w:rsid w:val="00A07550"/>
    <w:rsid w:val="00A1377F"/>
    <w:rsid w:val="00A13AD5"/>
    <w:rsid w:val="00A20CEF"/>
    <w:rsid w:val="00A216A2"/>
    <w:rsid w:val="00A21F2B"/>
    <w:rsid w:val="00A2287F"/>
    <w:rsid w:val="00A2603E"/>
    <w:rsid w:val="00A26614"/>
    <w:rsid w:val="00A30C83"/>
    <w:rsid w:val="00A30CC2"/>
    <w:rsid w:val="00A33A9D"/>
    <w:rsid w:val="00A345DF"/>
    <w:rsid w:val="00A35A71"/>
    <w:rsid w:val="00A40AC6"/>
    <w:rsid w:val="00A40CF1"/>
    <w:rsid w:val="00A411B1"/>
    <w:rsid w:val="00A417FA"/>
    <w:rsid w:val="00A421E6"/>
    <w:rsid w:val="00A42358"/>
    <w:rsid w:val="00A4700D"/>
    <w:rsid w:val="00A47822"/>
    <w:rsid w:val="00A51B91"/>
    <w:rsid w:val="00A52487"/>
    <w:rsid w:val="00A55EDE"/>
    <w:rsid w:val="00A61E50"/>
    <w:rsid w:val="00A63FD7"/>
    <w:rsid w:val="00A640DB"/>
    <w:rsid w:val="00A641E1"/>
    <w:rsid w:val="00A647C5"/>
    <w:rsid w:val="00A65967"/>
    <w:rsid w:val="00A659DF"/>
    <w:rsid w:val="00A661F5"/>
    <w:rsid w:val="00A72A0D"/>
    <w:rsid w:val="00A73939"/>
    <w:rsid w:val="00A73F2C"/>
    <w:rsid w:val="00A740C7"/>
    <w:rsid w:val="00A82545"/>
    <w:rsid w:val="00A8597C"/>
    <w:rsid w:val="00A878DA"/>
    <w:rsid w:val="00A91F87"/>
    <w:rsid w:val="00A97E5A"/>
    <w:rsid w:val="00AA0CD4"/>
    <w:rsid w:val="00AA429E"/>
    <w:rsid w:val="00AA5838"/>
    <w:rsid w:val="00AB171A"/>
    <w:rsid w:val="00AB2E58"/>
    <w:rsid w:val="00AB3BC4"/>
    <w:rsid w:val="00AB48C0"/>
    <w:rsid w:val="00AB6A8E"/>
    <w:rsid w:val="00AC4D43"/>
    <w:rsid w:val="00AC5875"/>
    <w:rsid w:val="00AC5F0E"/>
    <w:rsid w:val="00AC60FC"/>
    <w:rsid w:val="00AC6449"/>
    <w:rsid w:val="00AC74AE"/>
    <w:rsid w:val="00AD119A"/>
    <w:rsid w:val="00AD1363"/>
    <w:rsid w:val="00AD27CA"/>
    <w:rsid w:val="00AE2936"/>
    <w:rsid w:val="00AE41EC"/>
    <w:rsid w:val="00AF1C2D"/>
    <w:rsid w:val="00AF62C3"/>
    <w:rsid w:val="00AF708A"/>
    <w:rsid w:val="00AF790C"/>
    <w:rsid w:val="00B012AB"/>
    <w:rsid w:val="00B039BE"/>
    <w:rsid w:val="00B0732A"/>
    <w:rsid w:val="00B10229"/>
    <w:rsid w:val="00B11C8C"/>
    <w:rsid w:val="00B1254D"/>
    <w:rsid w:val="00B15505"/>
    <w:rsid w:val="00B1669B"/>
    <w:rsid w:val="00B16F5A"/>
    <w:rsid w:val="00B22FDF"/>
    <w:rsid w:val="00B235D7"/>
    <w:rsid w:val="00B24160"/>
    <w:rsid w:val="00B2640B"/>
    <w:rsid w:val="00B30BE2"/>
    <w:rsid w:val="00B318D7"/>
    <w:rsid w:val="00B31B0D"/>
    <w:rsid w:val="00B3439F"/>
    <w:rsid w:val="00B3574D"/>
    <w:rsid w:val="00B36888"/>
    <w:rsid w:val="00B36E4A"/>
    <w:rsid w:val="00B37B25"/>
    <w:rsid w:val="00B43C59"/>
    <w:rsid w:val="00B44E12"/>
    <w:rsid w:val="00B46033"/>
    <w:rsid w:val="00B461F3"/>
    <w:rsid w:val="00B46861"/>
    <w:rsid w:val="00B5004B"/>
    <w:rsid w:val="00B50888"/>
    <w:rsid w:val="00B50FDE"/>
    <w:rsid w:val="00B51BE0"/>
    <w:rsid w:val="00B52066"/>
    <w:rsid w:val="00B5390F"/>
    <w:rsid w:val="00B553E7"/>
    <w:rsid w:val="00B56378"/>
    <w:rsid w:val="00B578AD"/>
    <w:rsid w:val="00B60A49"/>
    <w:rsid w:val="00B61375"/>
    <w:rsid w:val="00B61822"/>
    <w:rsid w:val="00B618B2"/>
    <w:rsid w:val="00B65446"/>
    <w:rsid w:val="00B7014D"/>
    <w:rsid w:val="00B8089B"/>
    <w:rsid w:val="00B83096"/>
    <w:rsid w:val="00B85CFC"/>
    <w:rsid w:val="00B90831"/>
    <w:rsid w:val="00B90B0E"/>
    <w:rsid w:val="00B90F1E"/>
    <w:rsid w:val="00B94B86"/>
    <w:rsid w:val="00BA4D01"/>
    <w:rsid w:val="00BA67E2"/>
    <w:rsid w:val="00BA779B"/>
    <w:rsid w:val="00BB0744"/>
    <w:rsid w:val="00BB1E90"/>
    <w:rsid w:val="00BB71DF"/>
    <w:rsid w:val="00BB74A1"/>
    <w:rsid w:val="00BC7BC7"/>
    <w:rsid w:val="00BD4074"/>
    <w:rsid w:val="00BD4B32"/>
    <w:rsid w:val="00BE0021"/>
    <w:rsid w:val="00BF55F8"/>
    <w:rsid w:val="00BF60E8"/>
    <w:rsid w:val="00C100C2"/>
    <w:rsid w:val="00C14C14"/>
    <w:rsid w:val="00C14C3E"/>
    <w:rsid w:val="00C14D9A"/>
    <w:rsid w:val="00C21277"/>
    <w:rsid w:val="00C2241F"/>
    <w:rsid w:val="00C23DC3"/>
    <w:rsid w:val="00C24F7E"/>
    <w:rsid w:val="00C30424"/>
    <w:rsid w:val="00C30BAA"/>
    <w:rsid w:val="00C353AB"/>
    <w:rsid w:val="00C35469"/>
    <w:rsid w:val="00C40663"/>
    <w:rsid w:val="00C42250"/>
    <w:rsid w:val="00C44A96"/>
    <w:rsid w:val="00C44BF0"/>
    <w:rsid w:val="00C4597C"/>
    <w:rsid w:val="00C46C98"/>
    <w:rsid w:val="00C47BA8"/>
    <w:rsid w:val="00C51837"/>
    <w:rsid w:val="00C5257C"/>
    <w:rsid w:val="00C541B2"/>
    <w:rsid w:val="00C5436E"/>
    <w:rsid w:val="00C545CB"/>
    <w:rsid w:val="00C55A60"/>
    <w:rsid w:val="00C5718E"/>
    <w:rsid w:val="00C610F0"/>
    <w:rsid w:val="00C717C8"/>
    <w:rsid w:val="00C726E0"/>
    <w:rsid w:val="00C72AA9"/>
    <w:rsid w:val="00C73B5D"/>
    <w:rsid w:val="00C77890"/>
    <w:rsid w:val="00C80B38"/>
    <w:rsid w:val="00C81E99"/>
    <w:rsid w:val="00C872AA"/>
    <w:rsid w:val="00C90F4C"/>
    <w:rsid w:val="00C915F6"/>
    <w:rsid w:val="00C92B5A"/>
    <w:rsid w:val="00C945A4"/>
    <w:rsid w:val="00C975BD"/>
    <w:rsid w:val="00CA2B9B"/>
    <w:rsid w:val="00CA32A2"/>
    <w:rsid w:val="00CA3D4B"/>
    <w:rsid w:val="00CA4619"/>
    <w:rsid w:val="00CA5002"/>
    <w:rsid w:val="00CA55FB"/>
    <w:rsid w:val="00CA6433"/>
    <w:rsid w:val="00CA7428"/>
    <w:rsid w:val="00CA7D85"/>
    <w:rsid w:val="00CC071F"/>
    <w:rsid w:val="00CC3CE8"/>
    <w:rsid w:val="00CC47E5"/>
    <w:rsid w:val="00CC572E"/>
    <w:rsid w:val="00CC7067"/>
    <w:rsid w:val="00CC7545"/>
    <w:rsid w:val="00CC7C20"/>
    <w:rsid w:val="00CD0D87"/>
    <w:rsid w:val="00CD198F"/>
    <w:rsid w:val="00CD75C4"/>
    <w:rsid w:val="00CE5F07"/>
    <w:rsid w:val="00CE6567"/>
    <w:rsid w:val="00CE7B0E"/>
    <w:rsid w:val="00CF081B"/>
    <w:rsid w:val="00CF40C6"/>
    <w:rsid w:val="00CF6F47"/>
    <w:rsid w:val="00D00003"/>
    <w:rsid w:val="00D004E1"/>
    <w:rsid w:val="00D01420"/>
    <w:rsid w:val="00D03234"/>
    <w:rsid w:val="00D03C3C"/>
    <w:rsid w:val="00D070DD"/>
    <w:rsid w:val="00D07666"/>
    <w:rsid w:val="00D10342"/>
    <w:rsid w:val="00D15E81"/>
    <w:rsid w:val="00D22343"/>
    <w:rsid w:val="00D23BC7"/>
    <w:rsid w:val="00D26A91"/>
    <w:rsid w:val="00D3008C"/>
    <w:rsid w:val="00D30C37"/>
    <w:rsid w:val="00D34ABF"/>
    <w:rsid w:val="00D34D4D"/>
    <w:rsid w:val="00D41241"/>
    <w:rsid w:val="00D542DE"/>
    <w:rsid w:val="00D5751A"/>
    <w:rsid w:val="00D62F6C"/>
    <w:rsid w:val="00D63BB6"/>
    <w:rsid w:val="00D63D98"/>
    <w:rsid w:val="00D64010"/>
    <w:rsid w:val="00D67DBA"/>
    <w:rsid w:val="00D67EFC"/>
    <w:rsid w:val="00D7020F"/>
    <w:rsid w:val="00D7079B"/>
    <w:rsid w:val="00D708DC"/>
    <w:rsid w:val="00D72ED1"/>
    <w:rsid w:val="00D73536"/>
    <w:rsid w:val="00D7404F"/>
    <w:rsid w:val="00D74E5D"/>
    <w:rsid w:val="00D7647F"/>
    <w:rsid w:val="00D76B7B"/>
    <w:rsid w:val="00D76C9E"/>
    <w:rsid w:val="00D83742"/>
    <w:rsid w:val="00D8564F"/>
    <w:rsid w:val="00D8683D"/>
    <w:rsid w:val="00D90672"/>
    <w:rsid w:val="00D91D3E"/>
    <w:rsid w:val="00D94D51"/>
    <w:rsid w:val="00D95ADF"/>
    <w:rsid w:val="00D97AFF"/>
    <w:rsid w:val="00DA36B3"/>
    <w:rsid w:val="00DA650D"/>
    <w:rsid w:val="00DA6862"/>
    <w:rsid w:val="00DA68A3"/>
    <w:rsid w:val="00DA74E7"/>
    <w:rsid w:val="00DB0661"/>
    <w:rsid w:val="00DB2328"/>
    <w:rsid w:val="00DC1659"/>
    <w:rsid w:val="00DC1B91"/>
    <w:rsid w:val="00DC277B"/>
    <w:rsid w:val="00DC29D9"/>
    <w:rsid w:val="00DC3B52"/>
    <w:rsid w:val="00DC59BF"/>
    <w:rsid w:val="00DC6383"/>
    <w:rsid w:val="00DD0006"/>
    <w:rsid w:val="00DD0DE9"/>
    <w:rsid w:val="00DD1E90"/>
    <w:rsid w:val="00DE19D5"/>
    <w:rsid w:val="00DE3714"/>
    <w:rsid w:val="00DE3AEA"/>
    <w:rsid w:val="00DE521E"/>
    <w:rsid w:val="00DF2BA7"/>
    <w:rsid w:val="00DF40EE"/>
    <w:rsid w:val="00DF5754"/>
    <w:rsid w:val="00E00A80"/>
    <w:rsid w:val="00E00C16"/>
    <w:rsid w:val="00E01238"/>
    <w:rsid w:val="00E019BC"/>
    <w:rsid w:val="00E044D7"/>
    <w:rsid w:val="00E04E47"/>
    <w:rsid w:val="00E07652"/>
    <w:rsid w:val="00E07759"/>
    <w:rsid w:val="00E101A8"/>
    <w:rsid w:val="00E10A6E"/>
    <w:rsid w:val="00E126E3"/>
    <w:rsid w:val="00E128A6"/>
    <w:rsid w:val="00E14C12"/>
    <w:rsid w:val="00E15E25"/>
    <w:rsid w:val="00E17E66"/>
    <w:rsid w:val="00E21EB5"/>
    <w:rsid w:val="00E21EEA"/>
    <w:rsid w:val="00E23568"/>
    <w:rsid w:val="00E24C44"/>
    <w:rsid w:val="00E2521E"/>
    <w:rsid w:val="00E3537E"/>
    <w:rsid w:val="00E36209"/>
    <w:rsid w:val="00E42301"/>
    <w:rsid w:val="00E43DC6"/>
    <w:rsid w:val="00E43EC8"/>
    <w:rsid w:val="00E4448E"/>
    <w:rsid w:val="00E45467"/>
    <w:rsid w:val="00E45F1C"/>
    <w:rsid w:val="00E469B4"/>
    <w:rsid w:val="00E46A67"/>
    <w:rsid w:val="00E4759C"/>
    <w:rsid w:val="00E52631"/>
    <w:rsid w:val="00E53592"/>
    <w:rsid w:val="00E54B9B"/>
    <w:rsid w:val="00E55297"/>
    <w:rsid w:val="00E55C74"/>
    <w:rsid w:val="00E61A34"/>
    <w:rsid w:val="00E6280A"/>
    <w:rsid w:val="00E65264"/>
    <w:rsid w:val="00E662D1"/>
    <w:rsid w:val="00E7053A"/>
    <w:rsid w:val="00E71274"/>
    <w:rsid w:val="00E7165D"/>
    <w:rsid w:val="00E732B9"/>
    <w:rsid w:val="00E762F1"/>
    <w:rsid w:val="00E8069F"/>
    <w:rsid w:val="00E806D7"/>
    <w:rsid w:val="00E80744"/>
    <w:rsid w:val="00E811FD"/>
    <w:rsid w:val="00E821C5"/>
    <w:rsid w:val="00E854AE"/>
    <w:rsid w:val="00E877FB"/>
    <w:rsid w:val="00E8784B"/>
    <w:rsid w:val="00E91312"/>
    <w:rsid w:val="00E922B0"/>
    <w:rsid w:val="00E92779"/>
    <w:rsid w:val="00EA0C87"/>
    <w:rsid w:val="00EB5ABE"/>
    <w:rsid w:val="00EB6E4F"/>
    <w:rsid w:val="00EC2EB8"/>
    <w:rsid w:val="00EC688F"/>
    <w:rsid w:val="00EC70BA"/>
    <w:rsid w:val="00EC7873"/>
    <w:rsid w:val="00EC7A83"/>
    <w:rsid w:val="00ED1D3C"/>
    <w:rsid w:val="00ED25AB"/>
    <w:rsid w:val="00ED2B47"/>
    <w:rsid w:val="00ED56E6"/>
    <w:rsid w:val="00ED60B0"/>
    <w:rsid w:val="00ED7C0D"/>
    <w:rsid w:val="00EE08C7"/>
    <w:rsid w:val="00EE1CAF"/>
    <w:rsid w:val="00EE3729"/>
    <w:rsid w:val="00EE4D9D"/>
    <w:rsid w:val="00EE5B75"/>
    <w:rsid w:val="00EE7FA2"/>
    <w:rsid w:val="00EF1E3F"/>
    <w:rsid w:val="00EF205B"/>
    <w:rsid w:val="00EF39B4"/>
    <w:rsid w:val="00EF61F3"/>
    <w:rsid w:val="00EF6382"/>
    <w:rsid w:val="00EF709C"/>
    <w:rsid w:val="00EF72A2"/>
    <w:rsid w:val="00F001F2"/>
    <w:rsid w:val="00F05DB1"/>
    <w:rsid w:val="00F06214"/>
    <w:rsid w:val="00F079E3"/>
    <w:rsid w:val="00F10F99"/>
    <w:rsid w:val="00F137EC"/>
    <w:rsid w:val="00F147BD"/>
    <w:rsid w:val="00F15A79"/>
    <w:rsid w:val="00F1631F"/>
    <w:rsid w:val="00F23C0D"/>
    <w:rsid w:val="00F32745"/>
    <w:rsid w:val="00F3365A"/>
    <w:rsid w:val="00F405EC"/>
    <w:rsid w:val="00F42E64"/>
    <w:rsid w:val="00F513F0"/>
    <w:rsid w:val="00F52A95"/>
    <w:rsid w:val="00F5446A"/>
    <w:rsid w:val="00F56134"/>
    <w:rsid w:val="00F57AD0"/>
    <w:rsid w:val="00F6132D"/>
    <w:rsid w:val="00F631EB"/>
    <w:rsid w:val="00F65372"/>
    <w:rsid w:val="00F65AA3"/>
    <w:rsid w:val="00F67E36"/>
    <w:rsid w:val="00F701AC"/>
    <w:rsid w:val="00F7406A"/>
    <w:rsid w:val="00F74117"/>
    <w:rsid w:val="00F77245"/>
    <w:rsid w:val="00F80A54"/>
    <w:rsid w:val="00F81821"/>
    <w:rsid w:val="00F834E7"/>
    <w:rsid w:val="00F86804"/>
    <w:rsid w:val="00F93CBD"/>
    <w:rsid w:val="00F95079"/>
    <w:rsid w:val="00F95E43"/>
    <w:rsid w:val="00F9714C"/>
    <w:rsid w:val="00FA0F15"/>
    <w:rsid w:val="00FA1085"/>
    <w:rsid w:val="00FA6FE4"/>
    <w:rsid w:val="00FA7BC8"/>
    <w:rsid w:val="00FA7F31"/>
    <w:rsid w:val="00FB1B1C"/>
    <w:rsid w:val="00FB2121"/>
    <w:rsid w:val="00FB2D0A"/>
    <w:rsid w:val="00FB41A6"/>
    <w:rsid w:val="00FB484E"/>
    <w:rsid w:val="00FB6C0A"/>
    <w:rsid w:val="00FB712A"/>
    <w:rsid w:val="00FB7572"/>
    <w:rsid w:val="00FB7683"/>
    <w:rsid w:val="00FC1C12"/>
    <w:rsid w:val="00FC21C9"/>
    <w:rsid w:val="00FC5503"/>
    <w:rsid w:val="00FC6BD7"/>
    <w:rsid w:val="00FD232E"/>
    <w:rsid w:val="00FD323F"/>
    <w:rsid w:val="00FD5015"/>
    <w:rsid w:val="00FD78C3"/>
    <w:rsid w:val="00FE3387"/>
    <w:rsid w:val="00FE3F1E"/>
    <w:rsid w:val="00FE4CAF"/>
    <w:rsid w:val="00FE7385"/>
    <w:rsid w:val="00FF2784"/>
    <w:rsid w:val="00FF77A3"/>
    <w:rsid w:val="01221A43"/>
    <w:rsid w:val="01AD3165"/>
    <w:rsid w:val="01B83CAA"/>
    <w:rsid w:val="02414410"/>
    <w:rsid w:val="03D16BA7"/>
    <w:rsid w:val="040D60DF"/>
    <w:rsid w:val="040F1A9E"/>
    <w:rsid w:val="04221497"/>
    <w:rsid w:val="0493B3CC"/>
    <w:rsid w:val="06347893"/>
    <w:rsid w:val="06567A20"/>
    <w:rsid w:val="066A58F9"/>
    <w:rsid w:val="06BE500F"/>
    <w:rsid w:val="07FB352D"/>
    <w:rsid w:val="08D01906"/>
    <w:rsid w:val="08F55730"/>
    <w:rsid w:val="0AEC6B8F"/>
    <w:rsid w:val="0B5B468D"/>
    <w:rsid w:val="0BCB5A6E"/>
    <w:rsid w:val="0DBA9D63"/>
    <w:rsid w:val="0E203BF6"/>
    <w:rsid w:val="0E9AD4BA"/>
    <w:rsid w:val="0FFD4BBD"/>
    <w:rsid w:val="113C6F4D"/>
    <w:rsid w:val="13179B40"/>
    <w:rsid w:val="1352EB20"/>
    <w:rsid w:val="148E16EF"/>
    <w:rsid w:val="149090D1"/>
    <w:rsid w:val="152A73A1"/>
    <w:rsid w:val="166D53EE"/>
    <w:rsid w:val="16892FB4"/>
    <w:rsid w:val="1698494F"/>
    <w:rsid w:val="173AD97B"/>
    <w:rsid w:val="18844544"/>
    <w:rsid w:val="18D47301"/>
    <w:rsid w:val="1AF3C753"/>
    <w:rsid w:val="1B8C7FF1"/>
    <w:rsid w:val="1D2098EA"/>
    <w:rsid w:val="1DBF46D5"/>
    <w:rsid w:val="1F0D01E4"/>
    <w:rsid w:val="1F44102C"/>
    <w:rsid w:val="1F7A214C"/>
    <w:rsid w:val="1F96F31B"/>
    <w:rsid w:val="1FDD0387"/>
    <w:rsid w:val="21197551"/>
    <w:rsid w:val="21CB51B0"/>
    <w:rsid w:val="2224F19C"/>
    <w:rsid w:val="22BFEBEB"/>
    <w:rsid w:val="22CEEC74"/>
    <w:rsid w:val="234D3CFE"/>
    <w:rsid w:val="26FCEB40"/>
    <w:rsid w:val="28412E17"/>
    <w:rsid w:val="28B3FEBA"/>
    <w:rsid w:val="29B1C0B0"/>
    <w:rsid w:val="2A353533"/>
    <w:rsid w:val="2B4A0F68"/>
    <w:rsid w:val="2B8E33BE"/>
    <w:rsid w:val="2D8E19A6"/>
    <w:rsid w:val="2E857632"/>
    <w:rsid w:val="2E86E156"/>
    <w:rsid w:val="2EFE6A72"/>
    <w:rsid w:val="2F330222"/>
    <w:rsid w:val="2F3A4449"/>
    <w:rsid w:val="2FC81ADC"/>
    <w:rsid w:val="2FFE9415"/>
    <w:rsid w:val="30071F93"/>
    <w:rsid w:val="305CE911"/>
    <w:rsid w:val="305D8FB5"/>
    <w:rsid w:val="31BC4601"/>
    <w:rsid w:val="31C97D18"/>
    <w:rsid w:val="31E9C342"/>
    <w:rsid w:val="332D347A"/>
    <w:rsid w:val="33B39103"/>
    <w:rsid w:val="33F8633A"/>
    <w:rsid w:val="3515FF7D"/>
    <w:rsid w:val="354635DA"/>
    <w:rsid w:val="358D3268"/>
    <w:rsid w:val="359447EE"/>
    <w:rsid w:val="3673A880"/>
    <w:rsid w:val="36EA546A"/>
    <w:rsid w:val="37015707"/>
    <w:rsid w:val="37B981DA"/>
    <w:rsid w:val="3957299F"/>
    <w:rsid w:val="39E7589A"/>
    <w:rsid w:val="39FFCF44"/>
    <w:rsid w:val="3A9D2819"/>
    <w:rsid w:val="3C32D20F"/>
    <w:rsid w:val="3C3EAEB5"/>
    <w:rsid w:val="3CEEFC5D"/>
    <w:rsid w:val="3E472119"/>
    <w:rsid w:val="3EBCA4DD"/>
    <w:rsid w:val="3F102691"/>
    <w:rsid w:val="3F6641DB"/>
    <w:rsid w:val="3FB7363C"/>
    <w:rsid w:val="40E22213"/>
    <w:rsid w:val="43F7BA25"/>
    <w:rsid w:val="43FC474B"/>
    <w:rsid w:val="44CC6E35"/>
    <w:rsid w:val="44FDDB07"/>
    <w:rsid w:val="4550298F"/>
    <w:rsid w:val="466C45AD"/>
    <w:rsid w:val="4710C05D"/>
    <w:rsid w:val="47BF22E0"/>
    <w:rsid w:val="4850FC50"/>
    <w:rsid w:val="49CC80D8"/>
    <w:rsid w:val="4A0B0A90"/>
    <w:rsid w:val="4A4933ED"/>
    <w:rsid w:val="4B414D06"/>
    <w:rsid w:val="4BD35EEF"/>
    <w:rsid w:val="4BF46E6F"/>
    <w:rsid w:val="4D4C3002"/>
    <w:rsid w:val="4DFE6750"/>
    <w:rsid w:val="4E347C62"/>
    <w:rsid w:val="4E907929"/>
    <w:rsid w:val="4EAB6381"/>
    <w:rsid w:val="4EC84111"/>
    <w:rsid w:val="504CF35F"/>
    <w:rsid w:val="50C1D1FE"/>
    <w:rsid w:val="522D5B49"/>
    <w:rsid w:val="52CEB463"/>
    <w:rsid w:val="537A0299"/>
    <w:rsid w:val="5427D05B"/>
    <w:rsid w:val="54D30DA0"/>
    <w:rsid w:val="55FF10E2"/>
    <w:rsid w:val="5616C1B6"/>
    <w:rsid w:val="567EC938"/>
    <w:rsid w:val="572E50D6"/>
    <w:rsid w:val="57CDE740"/>
    <w:rsid w:val="5965F966"/>
    <w:rsid w:val="59CC315C"/>
    <w:rsid w:val="5A757D24"/>
    <w:rsid w:val="5AD10947"/>
    <w:rsid w:val="5B397093"/>
    <w:rsid w:val="5B5E8EAC"/>
    <w:rsid w:val="5B81B2EA"/>
    <w:rsid w:val="5BFFB4B5"/>
    <w:rsid w:val="5C1E3D72"/>
    <w:rsid w:val="5CAB9968"/>
    <w:rsid w:val="5CB1380D"/>
    <w:rsid w:val="5E0B58A4"/>
    <w:rsid w:val="5F7F161C"/>
    <w:rsid w:val="5F7FB92E"/>
    <w:rsid w:val="5FEB8AD7"/>
    <w:rsid w:val="5FEBD31C"/>
    <w:rsid w:val="5FFB1EC2"/>
    <w:rsid w:val="5FFF90B6"/>
    <w:rsid w:val="6044E638"/>
    <w:rsid w:val="607D1317"/>
    <w:rsid w:val="60EF7D31"/>
    <w:rsid w:val="60FB4F69"/>
    <w:rsid w:val="60FBF0F7"/>
    <w:rsid w:val="61CDDF4C"/>
    <w:rsid w:val="62C24169"/>
    <w:rsid w:val="62CF6F49"/>
    <w:rsid w:val="637A0864"/>
    <w:rsid w:val="63B7CC7E"/>
    <w:rsid w:val="63DE792E"/>
    <w:rsid w:val="648B21EB"/>
    <w:rsid w:val="64AAC824"/>
    <w:rsid w:val="64E14511"/>
    <w:rsid w:val="65195CC5"/>
    <w:rsid w:val="66603EB9"/>
    <w:rsid w:val="67EE6C9C"/>
    <w:rsid w:val="67FF761E"/>
    <w:rsid w:val="67FF9636"/>
    <w:rsid w:val="69434809"/>
    <w:rsid w:val="69BD50F9"/>
    <w:rsid w:val="69CF76A1"/>
    <w:rsid w:val="69FF0AF5"/>
    <w:rsid w:val="6ABB5D30"/>
    <w:rsid w:val="6BF95096"/>
    <w:rsid w:val="6BFFDFBA"/>
    <w:rsid w:val="6C75D1FE"/>
    <w:rsid w:val="6CEF4DF5"/>
    <w:rsid w:val="6CF3644B"/>
    <w:rsid w:val="6D174FB5"/>
    <w:rsid w:val="6D994B95"/>
    <w:rsid w:val="6DFF7D65"/>
    <w:rsid w:val="6EC0A192"/>
    <w:rsid w:val="6ECFCDD7"/>
    <w:rsid w:val="6F36BFF1"/>
    <w:rsid w:val="70309639"/>
    <w:rsid w:val="715F1BDF"/>
    <w:rsid w:val="71860080"/>
    <w:rsid w:val="7225F02E"/>
    <w:rsid w:val="72DD347A"/>
    <w:rsid w:val="72E4B37A"/>
    <w:rsid w:val="734C7A74"/>
    <w:rsid w:val="738C5385"/>
    <w:rsid w:val="73BDCF28"/>
    <w:rsid w:val="73BE4077"/>
    <w:rsid w:val="742B19A4"/>
    <w:rsid w:val="742DDE13"/>
    <w:rsid w:val="7462559F"/>
    <w:rsid w:val="74D7B59E"/>
    <w:rsid w:val="74E9DBB4"/>
    <w:rsid w:val="74EFEE4D"/>
    <w:rsid w:val="75FCAB1A"/>
    <w:rsid w:val="76DFDAE0"/>
    <w:rsid w:val="777B61D9"/>
    <w:rsid w:val="77964472"/>
    <w:rsid w:val="77ABE231"/>
    <w:rsid w:val="77DF9110"/>
    <w:rsid w:val="77F5DEB0"/>
    <w:rsid w:val="77FB40DA"/>
    <w:rsid w:val="7878324E"/>
    <w:rsid w:val="795F245A"/>
    <w:rsid w:val="7966338B"/>
    <w:rsid w:val="79AA4754"/>
    <w:rsid w:val="7A91E411"/>
    <w:rsid w:val="7A9F37E2"/>
    <w:rsid w:val="7B4F4B07"/>
    <w:rsid w:val="7B83C72C"/>
    <w:rsid w:val="7BBE0C1A"/>
    <w:rsid w:val="7BDEB738"/>
    <w:rsid w:val="7C07A89B"/>
    <w:rsid w:val="7CDFAAB2"/>
    <w:rsid w:val="7DA42796"/>
    <w:rsid w:val="7DCB6392"/>
    <w:rsid w:val="7DE2940F"/>
    <w:rsid w:val="7DEAFBE4"/>
    <w:rsid w:val="7DFD55CC"/>
    <w:rsid w:val="7E7FDA45"/>
    <w:rsid w:val="7EA9110F"/>
    <w:rsid w:val="7EBA2044"/>
    <w:rsid w:val="7EFF14AE"/>
    <w:rsid w:val="7EFFACC4"/>
    <w:rsid w:val="7F09A0A5"/>
    <w:rsid w:val="7F3EEC6E"/>
    <w:rsid w:val="7F655A60"/>
    <w:rsid w:val="7F6FE912"/>
    <w:rsid w:val="7F7AF9A1"/>
    <w:rsid w:val="7F7F915E"/>
    <w:rsid w:val="7FB555E8"/>
    <w:rsid w:val="7FBDFA0C"/>
    <w:rsid w:val="7FDB1A25"/>
    <w:rsid w:val="7FDC6070"/>
    <w:rsid w:val="7FE824EC"/>
    <w:rsid w:val="7FEF0411"/>
    <w:rsid w:val="7FFE8865"/>
    <w:rsid w:val="7FFEEF45"/>
    <w:rsid w:val="7FFF1A6C"/>
    <w:rsid w:val="7FFFA0DA"/>
    <w:rsid w:val="803D47C9"/>
    <w:rsid w:val="80492286"/>
    <w:rsid w:val="81121B22"/>
    <w:rsid w:val="83636AE1"/>
    <w:rsid w:val="84DD20A1"/>
    <w:rsid w:val="85BCD0F4"/>
    <w:rsid w:val="85D13E2D"/>
    <w:rsid w:val="8663198F"/>
    <w:rsid w:val="869461D5"/>
    <w:rsid w:val="884F9FA7"/>
    <w:rsid w:val="8B3CCDF2"/>
    <w:rsid w:val="8B7FEFDD"/>
    <w:rsid w:val="8CCBBFFA"/>
    <w:rsid w:val="8CD0E53E"/>
    <w:rsid w:val="8CF6DBB9"/>
    <w:rsid w:val="8EB6889E"/>
    <w:rsid w:val="8FB0B716"/>
    <w:rsid w:val="9080642F"/>
    <w:rsid w:val="909290FD"/>
    <w:rsid w:val="91628B67"/>
    <w:rsid w:val="91ABD0B4"/>
    <w:rsid w:val="91EBAE43"/>
    <w:rsid w:val="92A9784C"/>
    <w:rsid w:val="9448F614"/>
    <w:rsid w:val="95470C6E"/>
    <w:rsid w:val="977F8DE7"/>
    <w:rsid w:val="98C390EA"/>
    <w:rsid w:val="993F2F92"/>
    <w:rsid w:val="9A536287"/>
    <w:rsid w:val="9D1EA0BD"/>
    <w:rsid w:val="9DB6D16A"/>
    <w:rsid w:val="9DFB91A4"/>
    <w:rsid w:val="9DFD6646"/>
    <w:rsid w:val="9FD504CC"/>
    <w:rsid w:val="9FE7FB44"/>
    <w:rsid w:val="9FFF93D6"/>
    <w:rsid w:val="A0380C7E"/>
    <w:rsid w:val="A153DB4B"/>
    <w:rsid w:val="A18BDCD9"/>
    <w:rsid w:val="A4C44909"/>
    <w:rsid w:val="A588A7CF"/>
    <w:rsid w:val="A5B73748"/>
    <w:rsid w:val="A6B6FA2E"/>
    <w:rsid w:val="A6EFD86D"/>
    <w:rsid w:val="A773CB18"/>
    <w:rsid w:val="A82E0C80"/>
    <w:rsid w:val="A84FC559"/>
    <w:rsid w:val="A86F0FC6"/>
    <w:rsid w:val="A8761E0B"/>
    <w:rsid w:val="A88E409C"/>
    <w:rsid w:val="AC26C854"/>
    <w:rsid w:val="AC2E1C6E"/>
    <w:rsid w:val="AC49603C"/>
    <w:rsid w:val="AC7038C9"/>
    <w:rsid w:val="AC77C2CD"/>
    <w:rsid w:val="AD5B94E4"/>
    <w:rsid w:val="AD7D7B54"/>
    <w:rsid w:val="ADAB1968"/>
    <w:rsid w:val="AFA7F3A3"/>
    <w:rsid w:val="AFC51C5B"/>
    <w:rsid w:val="B06F64F8"/>
    <w:rsid w:val="B1160BDF"/>
    <w:rsid w:val="B14A2246"/>
    <w:rsid w:val="B3AB23CD"/>
    <w:rsid w:val="B3CC15F7"/>
    <w:rsid w:val="B521F946"/>
    <w:rsid w:val="B53A0CDD"/>
    <w:rsid w:val="B54BD0E2"/>
    <w:rsid w:val="B57A20B7"/>
    <w:rsid w:val="B6B5FFEA"/>
    <w:rsid w:val="B746AF25"/>
    <w:rsid w:val="B7746639"/>
    <w:rsid w:val="B7952CDD"/>
    <w:rsid w:val="B851124E"/>
    <w:rsid w:val="B8D09C20"/>
    <w:rsid w:val="BAE70469"/>
    <w:rsid w:val="BBD876E9"/>
    <w:rsid w:val="BD416554"/>
    <w:rsid w:val="BD60B761"/>
    <w:rsid w:val="BD85FF3E"/>
    <w:rsid w:val="BDFE8D23"/>
    <w:rsid w:val="BEFD10D9"/>
    <w:rsid w:val="BEFFB5DB"/>
    <w:rsid w:val="BF36F2CA"/>
    <w:rsid w:val="BF7BAE0B"/>
    <w:rsid w:val="BFDEE247"/>
    <w:rsid w:val="BFFEA752"/>
    <w:rsid w:val="BFFFE160"/>
    <w:rsid w:val="C1FA2093"/>
    <w:rsid w:val="C27D4B3A"/>
    <w:rsid w:val="C3D42BB3"/>
    <w:rsid w:val="C4566510"/>
    <w:rsid w:val="C5360236"/>
    <w:rsid w:val="C5DF74DC"/>
    <w:rsid w:val="C6FA4479"/>
    <w:rsid w:val="C76F8291"/>
    <w:rsid w:val="C8487989"/>
    <w:rsid w:val="C86FDCF6"/>
    <w:rsid w:val="C89D1A4E"/>
    <w:rsid w:val="C8DE3C4F"/>
    <w:rsid w:val="C9C9E928"/>
    <w:rsid w:val="CA3F5BB7"/>
    <w:rsid w:val="CA807A8B"/>
    <w:rsid w:val="CA81EA65"/>
    <w:rsid w:val="CBA01CD0"/>
    <w:rsid w:val="CC5272FA"/>
    <w:rsid w:val="CD46A9AE"/>
    <w:rsid w:val="CDADF1BF"/>
    <w:rsid w:val="CE4E6789"/>
    <w:rsid w:val="CE7D6602"/>
    <w:rsid w:val="CF06B663"/>
    <w:rsid w:val="CF5E4373"/>
    <w:rsid w:val="CFBECD6F"/>
    <w:rsid w:val="CFBEF831"/>
    <w:rsid w:val="D0EC6A65"/>
    <w:rsid w:val="D1013318"/>
    <w:rsid w:val="D3854494"/>
    <w:rsid w:val="D4540880"/>
    <w:rsid w:val="D49A06AC"/>
    <w:rsid w:val="D544F053"/>
    <w:rsid w:val="D6C0631A"/>
    <w:rsid w:val="D6DD1C72"/>
    <w:rsid w:val="D7EEB552"/>
    <w:rsid w:val="D7FB14FF"/>
    <w:rsid w:val="D82F1844"/>
    <w:rsid w:val="D9FF51E5"/>
    <w:rsid w:val="DA278FB4"/>
    <w:rsid w:val="DA4BAEC0"/>
    <w:rsid w:val="DB1B3250"/>
    <w:rsid w:val="DB4B7C65"/>
    <w:rsid w:val="DD296F82"/>
    <w:rsid w:val="DD822986"/>
    <w:rsid w:val="DDFC1283"/>
    <w:rsid w:val="DE1A28EB"/>
    <w:rsid w:val="DE317E53"/>
    <w:rsid w:val="DEFF5D7B"/>
    <w:rsid w:val="DF001B2D"/>
    <w:rsid w:val="DF0574B8"/>
    <w:rsid w:val="DF4EF24C"/>
    <w:rsid w:val="DF7FEF2F"/>
    <w:rsid w:val="DF9FAEBE"/>
    <w:rsid w:val="DFF6FD31"/>
    <w:rsid w:val="DFFF483D"/>
    <w:rsid w:val="E067A8E7"/>
    <w:rsid w:val="E0711F32"/>
    <w:rsid w:val="E09D5FAF"/>
    <w:rsid w:val="E1030458"/>
    <w:rsid w:val="E17238EA"/>
    <w:rsid w:val="E1E981D1"/>
    <w:rsid w:val="E2679B6E"/>
    <w:rsid w:val="E315A825"/>
    <w:rsid w:val="E38147FD"/>
    <w:rsid w:val="E3B6F3A6"/>
    <w:rsid w:val="E40E33E0"/>
    <w:rsid w:val="E42EDA45"/>
    <w:rsid w:val="E46BEBF9"/>
    <w:rsid w:val="E494AA54"/>
    <w:rsid w:val="E75C7D23"/>
    <w:rsid w:val="E78749E0"/>
    <w:rsid w:val="E7DF44F3"/>
    <w:rsid w:val="E7E09851"/>
    <w:rsid w:val="E8E9F43B"/>
    <w:rsid w:val="EABD76CC"/>
    <w:rsid w:val="EB2B839C"/>
    <w:rsid w:val="EB2E4916"/>
    <w:rsid w:val="EB3F0239"/>
    <w:rsid w:val="EBA5AF55"/>
    <w:rsid w:val="EBBF8796"/>
    <w:rsid w:val="EBEFD794"/>
    <w:rsid w:val="ECD93948"/>
    <w:rsid w:val="ECDD19C3"/>
    <w:rsid w:val="ECFB9479"/>
    <w:rsid w:val="EE6B4578"/>
    <w:rsid w:val="EE860B19"/>
    <w:rsid w:val="EEA00AB1"/>
    <w:rsid w:val="EEBB4D64"/>
    <w:rsid w:val="EF7F90F0"/>
    <w:rsid w:val="EFD3F150"/>
    <w:rsid w:val="EFD448A6"/>
    <w:rsid w:val="EFD793D8"/>
    <w:rsid w:val="EFEE51F2"/>
    <w:rsid w:val="EFFBC1F1"/>
    <w:rsid w:val="EFFFB48C"/>
    <w:rsid w:val="F025BE91"/>
    <w:rsid w:val="F02B753F"/>
    <w:rsid w:val="F0F2FBF9"/>
    <w:rsid w:val="F12BDAFB"/>
    <w:rsid w:val="F132A82C"/>
    <w:rsid w:val="F1C7DFFC"/>
    <w:rsid w:val="F25F3BBB"/>
    <w:rsid w:val="F26CE601"/>
    <w:rsid w:val="F3BE5762"/>
    <w:rsid w:val="F4FF7340"/>
    <w:rsid w:val="F587CC8C"/>
    <w:rsid w:val="F5FB3080"/>
    <w:rsid w:val="F66D582C"/>
    <w:rsid w:val="F6BF1E0A"/>
    <w:rsid w:val="F6FF1742"/>
    <w:rsid w:val="F72D5546"/>
    <w:rsid w:val="F7D30BC0"/>
    <w:rsid w:val="F7DFB42C"/>
    <w:rsid w:val="F7FD58E5"/>
    <w:rsid w:val="F903A6D2"/>
    <w:rsid w:val="F97F0BB7"/>
    <w:rsid w:val="F9C2CB1B"/>
    <w:rsid w:val="FA21BA0E"/>
    <w:rsid w:val="FA8E0DAB"/>
    <w:rsid w:val="FABE1C43"/>
    <w:rsid w:val="FAFF8690"/>
    <w:rsid w:val="FB3DC174"/>
    <w:rsid w:val="FBEDE4B4"/>
    <w:rsid w:val="FBF7182D"/>
    <w:rsid w:val="FC9EEAF5"/>
    <w:rsid w:val="FCDE1D4F"/>
    <w:rsid w:val="FEFEC685"/>
    <w:rsid w:val="FF1FC7AE"/>
    <w:rsid w:val="FF2BC88D"/>
    <w:rsid w:val="FF358152"/>
    <w:rsid w:val="FF3D1A56"/>
    <w:rsid w:val="FF471E9A"/>
    <w:rsid w:val="FF68010F"/>
    <w:rsid w:val="FF7E1970"/>
    <w:rsid w:val="FF7EDDA9"/>
    <w:rsid w:val="FF95ED49"/>
    <w:rsid w:val="FFBB4398"/>
    <w:rsid w:val="FFCB962B"/>
    <w:rsid w:val="FFCC6BA8"/>
    <w:rsid w:val="FFCD75B8"/>
    <w:rsid w:val="FFCFA940"/>
    <w:rsid w:val="FFD812FD"/>
    <w:rsid w:val="FFE983B7"/>
    <w:rsid w:val="FFFD4151"/>
    <w:rsid w:val="FFFEB9F0"/>
    <w:rsid w:val="FFFFD2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11">
    <w:name w:val="Default Paragraph Font"/>
    <w:uiPriority w:val="0"/>
    <w:rPr>
      <w:rFonts w:ascii="Times New Roman" w:hAnsi="Times New Roman" w:eastAsia="宋体" w:cs="Times New Roman"/>
    </w:rPr>
  </w:style>
  <w:style w:type="table" w:default="1" w:styleId="9">
    <w:name w:val="Normal Table"/>
    <w:uiPriority w:val="0"/>
    <w:rPr>
      <w:rFonts w:ascii="Times New Roman" w:hAnsi="Times New Roman" w:eastAsia="宋体" w:cs="Times New Roman"/>
    </w:rPr>
    <w:tblPr>
      <w:tblStyle w:val="9"/>
      <w:tblCellMar>
        <w:top w:w="0" w:type="dxa"/>
        <w:left w:w="108" w:type="dxa"/>
        <w:bottom w:w="0" w:type="dxa"/>
        <w:right w:w="108" w:type="dxa"/>
      </w:tblCellMar>
    </w:tblPr>
  </w:style>
  <w:style w:type="paragraph" w:styleId="2">
    <w:name w:val="Body Text"/>
    <w:basedOn w:val="1"/>
    <w:qFormat/>
    <w:uiPriority w:val="0"/>
    <w:pPr>
      <w:spacing w:line="380" w:lineRule="exact"/>
    </w:pPr>
    <w:rPr>
      <w:sz w:val="24"/>
    </w:rPr>
  </w:style>
  <w:style w:type="paragraph" w:styleId="3">
    <w:name w:val="Plain Text"/>
    <w:basedOn w:val="1"/>
    <w:uiPriority w:val="0"/>
    <w:rPr>
      <w:rFonts w:ascii="宋体" w:hAnsi="Courier New" w:eastAsia="宋体" w:cs="Courier New"/>
      <w:szCs w:val="21"/>
    </w:rPr>
  </w:style>
  <w:style w:type="paragraph" w:styleId="4">
    <w:name w:val="Date"/>
    <w:basedOn w:val="1"/>
    <w:next w:val="1"/>
    <w:uiPriority w:val="0"/>
    <w:pPr>
      <w:ind w:left="100" w:leftChars="2500"/>
    </w:pPr>
    <w:rPr>
      <w:rFonts w:ascii="Times New Roman" w:hAnsi="Times New Roman" w:eastAsia="宋体" w:cs="Times New Roman"/>
    </w:rPr>
  </w:style>
  <w:style w:type="paragraph" w:styleId="5">
    <w:name w:val="Body Text Indent 2"/>
    <w:basedOn w:val="1"/>
    <w:qFormat/>
    <w:uiPriority w:val="0"/>
    <w:pPr>
      <w:widowControl w:val="0"/>
      <w:spacing w:line="480" w:lineRule="auto"/>
      <w:ind w:left="420" w:leftChars="200"/>
      <w:jc w:val="both"/>
    </w:pPr>
    <w:rPr>
      <w:rFonts w:ascii="Calibri" w:hAnsi="Calibri" w:eastAsia="宋体" w:cs="Times New Roman"/>
      <w:kern w:val="2"/>
      <w:sz w:val="21"/>
      <w:szCs w:val="24"/>
      <w:lang w:val="en-US" w:eastAsia="zh-CN" w:bidi="ar-SA"/>
    </w:rPr>
  </w:style>
  <w:style w:type="paragraph" w:styleId="6">
    <w:name w:val="Balloon Text"/>
    <w:basedOn w:val="1"/>
    <w:uiPriority w:val="0"/>
    <w:rPr>
      <w:rFonts w:ascii="Times New Roman" w:hAnsi="Times New Roman" w:eastAsia="宋体" w:cs="Times New Roman"/>
      <w:sz w:val="18"/>
      <w:szCs w:val="18"/>
    </w:rPr>
  </w:style>
  <w:style w:type="paragraph" w:styleId="7">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0">
    <w:name w:val="Table Grid"/>
    <w:basedOn w:val="9"/>
    <w:qFormat/>
    <w:uiPriority w:val="0"/>
    <w:pPr>
      <w:widowControl w:val="0"/>
      <w:jc w:val="both"/>
    </w:pPr>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uiPriority w:val="0"/>
    <w:rPr>
      <w:rFonts w:ascii="Times New Roman" w:hAnsi="Times New Roman" w:eastAsia="宋体" w:cs="Times New Roman"/>
      <w:b/>
      <w:bCs/>
    </w:rPr>
  </w:style>
  <w:style w:type="character" w:styleId="13">
    <w:name w:val="page number"/>
    <w:basedOn w:val="11"/>
    <w:uiPriority w:val="0"/>
    <w:rPr>
      <w:rFonts w:ascii="Times New Roman" w:hAnsi="Times New Roman" w:eastAsia="宋体" w:cs="Times New Roman"/>
    </w:rPr>
  </w:style>
  <w:style w:type="paragraph" w:customStyle="1" w:styleId="14">
    <w:name w:val="Char Char Char Char Char Char Char"/>
    <w:basedOn w:val="1"/>
    <w:uiPriority w:val="0"/>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476</Words>
  <Characters>2717</Characters>
  <Lines>22</Lines>
  <Paragraphs>6</Paragraphs>
  <TotalTime>40</TotalTime>
  <ScaleCrop>false</ScaleCrop>
  <LinksUpToDate>false</LinksUpToDate>
  <CharactersWithSpaces>3187</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2015-03-20T08:29:00Z</dcterms:created>
  <dc:creator>黄菱</dc:creator>
  <cp:lastModifiedBy>勾婧思</cp:lastModifiedBy>
  <cp:lastPrinted>2018-03-10T09:26:00Z</cp:lastPrinted>
  <dcterms:modified xsi:type="dcterms:W3CDTF">2026-02-11T12:12:19Z</dcterms:modified>
  <dc:title>广西壮族自治区财政厅2014年部门预算</dc:title>
  <cp:revision>469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y fmtid="{D5CDD505-2E9C-101B-9397-08002B2CF9AE}" pid="3" name="ICV">
    <vt:lpwstr>ed87b60acd9f4894b51f35d0ecbd0667</vt:lpwstr>
  </property>
</Properties>
</file>