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i w:val="0"/>
          <w:caps w:val="0"/>
          <w:color w:val="auto"/>
          <w:spacing w:val="0"/>
          <w:sz w:val="44"/>
          <w:szCs w:val="44"/>
          <w:highlight w:val="none"/>
          <w:shd w:val="clear" w:fill="FFFFFF"/>
        </w:rPr>
      </w:pPr>
    </w:p>
    <w:p>
      <w:pPr>
        <w:rPr>
          <w:rFonts w:hint="eastAsia" w:ascii="方正小标宋简体" w:hAnsi="方正小标宋简体" w:eastAsia="方正小标宋简体" w:cs="方正小标宋简体"/>
          <w:b/>
          <w:i w:val="0"/>
          <w:caps w:val="0"/>
          <w:color w:val="auto"/>
          <w:spacing w:val="0"/>
          <w:sz w:val="44"/>
          <w:szCs w:val="44"/>
          <w:highlight w:val="none"/>
          <w:shd w:val="clear" w:fill="FFFFFF"/>
        </w:rPr>
      </w:pPr>
    </w:p>
    <w:p>
      <w:pPr>
        <w:adjustRightInd w:val="0"/>
        <w:snapToGrid w:val="0"/>
        <w:spacing w:line="560" w:lineRule="exact"/>
        <w:ind w:left="880" w:right="-218" w:rightChars="-104" w:hanging="880" w:hangingChars="200"/>
        <w:jc w:val="both"/>
        <w:rPr>
          <w:rFonts w:hint="eastAsia" w:ascii="方正小标宋简体" w:hAnsi="Times New Roman" w:eastAsia="方正小标宋简体" w:cs="Times New Roman"/>
          <w:sz w:val="44"/>
          <w:szCs w:val="44"/>
          <w:lang w:eastAsia="zh-CN"/>
        </w:rPr>
      </w:pPr>
      <w:bookmarkStart w:id="0" w:name="_Toc1730750544_WPSOffice_Level1"/>
      <w:bookmarkStart w:id="1" w:name="_Toc1031491841_WPSOffice_Level1"/>
      <w:r>
        <w:rPr>
          <w:rFonts w:hint="eastAsia" w:ascii="方正小标宋简体" w:hAnsi="Times New Roman" w:eastAsia="方正小标宋简体" w:cs="Times New Roman"/>
          <w:sz w:val="44"/>
          <w:szCs w:val="44"/>
          <w:lang w:eastAsia="zh-CN"/>
        </w:rPr>
        <w:t>广西壮族自治区公安厅森林公安直属二分局</w:t>
      </w:r>
      <w:r>
        <w:rPr>
          <w:rFonts w:hint="eastAsia" w:ascii="方正小标宋简体" w:hAnsi="Times New Roman" w:eastAsia="方正小标宋简体" w:cs="Times New Roman"/>
          <w:sz w:val="44"/>
          <w:szCs w:val="44"/>
          <w:lang w:val="en-US" w:eastAsia="zh-CN"/>
        </w:rPr>
        <w:t xml:space="preserve">            </w:t>
      </w:r>
      <w:r>
        <w:rPr>
          <w:rFonts w:hint="eastAsia" w:ascii="方正小标宋简体" w:hAnsi="Times New Roman" w:eastAsia="方正小标宋简体" w:cs="Times New Roman"/>
          <w:sz w:val="44"/>
          <w:szCs w:val="44"/>
          <w:lang w:eastAsia="zh-CN"/>
        </w:rPr>
        <w:t>维都派出所</w:t>
      </w:r>
      <w:r>
        <w:rPr>
          <w:rFonts w:hint="eastAsia" w:ascii="方正小标宋简体" w:hAnsi="Times New Roman" w:eastAsia="方正小标宋简体" w:cs="Times New Roman"/>
          <w:sz w:val="44"/>
          <w:szCs w:val="44"/>
        </w:rPr>
        <w:t xml:space="preserve"> 202</w:t>
      </w:r>
      <w:r>
        <w:rPr>
          <w:rFonts w:hint="eastAsia" w:ascii="方正小标宋简体" w:hAnsi="Times New Roman" w:eastAsia="方正小标宋简体" w:cs="Times New Roman"/>
          <w:sz w:val="44"/>
          <w:szCs w:val="44"/>
          <w:lang w:val="en-US" w:eastAsia="zh-CN"/>
        </w:rPr>
        <w:t>5</w:t>
      </w:r>
      <w:r>
        <w:rPr>
          <w:rFonts w:hint="eastAsia" w:ascii="方正小标宋简体" w:hAnsi="Times New Roman" w:eastAsia="方正小标宋简体" w:cs="Times New Roman"/>
          <w:sz w:val="44"/>
          <w:szCs w:val="44"/>
        </w:rPr>
        <w:t>年单位预算公开</w:t>
      </w:r>
      <w:r>
        <w:rPr>
          <w:rFonts w:hint="eastAsia" w:ascii="方正小标宋简体" w:hAnsi="Times New Roman" w:eastAsia="方正小标宋简体" w:cs="Times New Roman"/>
          <w:sz w:val="44"/>
          <w:szCs w:val="44"/>
          <w:lang w:eastAsia="zh-CN"/>
        </w:rPr>
        <w:t>说明</w:t>
      </w:r>
    </w:p>
    <w:p>
      <w:pPr>
        <w:adjustRightInd w:val="0"/>
        <w:snapToGrid w:val="0"/>
        <w:spacing w:line="560" w:lineRule="exact"/>
        <w:ind w:right="-218" w:rightChars="-104"/>
        <w:jc w:val="both"/>
        <w:rPr>
          <w:rFonts w:hint="eastAsia" w:ascii="方正小标宋简体" w:hAnsi="Times New Roman" w:eastAsia="方正小标宋简体" w:cs="Times New Roman"/>
          <w:sz w:val="44"/>
          <w:szCs w:val="44"/>
        </w:rPr>
      </w:pPr>
    </w:p>
    <w:p>
      <w:pPr>
        <w:adjustRightInd w:val="0"/>
        <w:snapToGrid w:val="0"/>
        <w:spacing w:line="560" w:lineRule="exact"/>
        <w:ind w:right="-218" w:rightChars="-104"/>
        <w:jc w:val="center"/>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目  录</w:t>
      </w: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第一部分：单位概况</w:t>
      </w: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第二部分：</w:t>
      </w:r>
      <w:r>
        <w:rPr>
          <w:rFonts w:hint="eastAsia" w:ascii="方正黑体_GBK" w:hAnsi="方正黑体_GBK" w:eastAsia="方正黑体_GBK" w:cs="方正黑体_GBK"/>
          <w:sz w:val="32"/>
          <w:szCs w:val="32"/>
          <w:lang w:eastAsia="zh-CN"/>
        </w:rPr>
        <w:t>广西壮族自治区公安厅森林公安直属二分局维都派出所</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年单位预算情况说明</w:t>
      </w: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第三部分：名词解释</w:t>
      </w: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p>
    <w:p>
      <w:pPr>
        <w:adjustRightInd w:val="0"/>
        <w:snapToGrid w:val="0"/>
        <w:spacing w:line="560" w:lineRule="exact"/>
        <w:ind w:right="-218" w:rightChars="-104"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第四部分：</w:t>
      </w:r>
      <w:r>
        <w:rPr>
          <w:rFonts w:hint="eastAsia" w:ascii="方正黑体_GBK" w:hAnsi="方正黑体_GBK" w:eastAsia="方正黑体_GBK" w:cs="方正黑体_GBK"/>
          <w:sz w:val="32"/>
          <w:szCs w:val="32"/>
          <w:lang w:eastAsia="zh-CN"/>
        </w:rPr>
        <w:t>广西壮族自治区公安厅森林公安直属二分局维都派出所</w:t>
      </w: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年单位预算公开报表</w:t>
      </w: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r>
        <w:rPr>
          <w:rFonts w:hint="eastAsia" w:ascii="黑体" w:hAnsi="宋体" w:eastAsia="黑体" w:cs="Times New Roman"/>
          <w:bCs/>
          <w:sz w:val="32"/>
          <w:szCs w:val="32"/>
          <w:highlight w:val="none"/>
        </w:rPr>
        <w:t>第一部分：</w:t>
      </w:r>
      <w:r>
        <w:rPr>
          <w:rFonts w:hint="eastAsia" w:ascii="黑体" w:hAnsi="宋体" w:eastAsia="黑体" w:cs="Times New Roman"/>
          <w:bCs/>
          <w:sz w:val="32"/>
          <w:szCs w:val="32"/>
          <w:highlight w:val="none"/>
          <w:lang w:eastAsia="zh-CN"/>
        </w:rPr>
        <w:t>单位</w:t>
      </w:r>
      <w:r>
        <w:rPr>
          <w:rFonts w:hint="eastAsia" w:ascii="黑体" w:hAnsi="宋体" w:eastAsia="黑体" w:cs="Times New Roman"/>
          <w:bCs/>
          <w:sz w:val="32"/>
          <w:szCs w:val="32"/>
          <w:highlight w:val="none"/>
        </w:rPr>
        <w:t>概况</w:t>
      </w:r>
      <w:bookmarkEnd w:id="0"/>
      <w:bookmarkEnd w:id="1"/>
    </w:p>
    <w:p>
      <w:pPr>
        <w:adjustRightInd w:val="0"/>
        <w:snapToGrid w:val="0"/>
        <w:spacing w:line="560" w:lineRule="exact"/>
        <w:ind w:right="-218" w:rightChars="-104" w:firstLine="640" w:firstLineChars="200"/>
        <w:rPr>
          <w:rFonts w:hint="eastAsia" w:ascii="黑体" w:hAnsi="宋体" w:eastAsia="黑体" w:cs="Times New Roman"/>
          <w:bCs/>
          <w:sz w:val="32"/>
          <w:szCs w:val="32"/>
          <w:highlight w:val="none"/>
        </w:rPr>
      </w:pPr>
      <w:bookmarkStart w:id="2" w:name="_Toc138845661_WPSOffice_Level2"/>
      <w:bookmarkStart w:id="3" w:name="_Toc1949987998_WPSOffice_Level2"/>
      <w:r>
        <w:rPr>
          <w:rFonts w:hint="eastAsia" w:ascii="黑体" w:hAnsi="宋体" w:eastAsia="黑体" w:cs="Times New Roman"/>
          <w:bCs/>
          <w:sz w:val="32"/>
          <w:szCs w:val="32"/>
          <w:highlight w:val="none"/>
          <w:lang w:val="en-US" w:eastAsia="zh-CN"/>
        </w:rPr>
        <w:t>一、单位</w:t>
      </w:r>
      <w:r>
        <w:rPr>
          <w:rFonts w:hint="eastAsia" w:ascii="黑体" w:hAnsi="宋体" w:eastAsia="黑体" w:cs="Times New Roman"/>
          <w:bCs/>
          <w:sz w:val="32"/>
          <w:szCs w:val="32"/>
          <w:highlight w:val="none"/>
        </w:rPr>
        <w:t>主要职能</w:t>
      </w:r>
      <w:bookmarkEnd w:id="2"/>
      <w:bookmarkEnd w:id="3"/>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森林公安是负责保护森林及野生动植物资源、保护生态安全、维护林区社会治安秩序的专业警钟。自治区森林公安局维都派出所是自治区森林公安局的派出机构,2015年12月直属二分局成立后归属自治区森林公安局直属二分局管辖。2021年1月18日，自治区森林公安局划入自治区公安厅，自治区森林公安局直属二分局作为自治区公安厅直属的副处级行政机构，名称为自治区公安厅森林公安直属二分局（自治区公安厅森林警察直属二支队）。自治区森林公安局直属二分局维都派出所名称变更为自治区公安厅森林公安直属二分局维都派出所。划入后主要职责如下：</w:t>
      </w:r>
    </w:p>
    <w:p>
      <w:pPr>
        <w:keepNext w:val="0"/>
        <w:keepLines w:val="0"/>
        <w:pageBreakBefore w:val="0"/>
        <w:kinsoku/>
        <w:wordWrap/>
        <w:overflowPunct/>
        <w:topLinePunct w:val="0"/>
        <w:autoSpaceDE/>
        <w:autoSpaceDN/>
        <w:bidi w:val="0"/>
        <w:adjustRightInd w:val="0"/>
        <w:snapToGrid w:val="0"/>
        <w:spacing w:line="560" w:lineRule="exact"/>
        <w:ind w:right="-218" w:rightChars="-104"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eastAsia="仿宋_GB2312"/>
          <w:sz w:val="32"/>
          <w:szCs w:val="32"/>
          <w:highlight w:val="none"/>
        </w:rPr>
        <w:t>负责实施本辖区所管护林区和草原的治安管理工作，协助对应的林业主管部门做好维护林区稳定工作。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210" w:leftChars="0" w:firstLine="320" w:firstLineChars="100"/>
        <w:textAlignment w:val="auto"/>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eastAsia="仿宋_GB2312"/>
          <w:sz w:val="32"/>
          <w:szCs w:val="32"/>
          <w:highlight w:val="none"/>
        </w:rPr>
        <w:t>办理本辖区涉及森林和草原刑事案件、治安案件和法律规定的相关行政案件。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eastAsia="仿宋_GB2312"/>
          <w:sz w:val="32"/>
          <w:szCs w:val="32"/>
          <w:highlight w:val="none"/>
        </w:rPr>
        <w:t>实施本辖区的森林和草原防火相关工作，负责火场警戒、交通疏导、治安维护、火案侦破等。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协同对应的林业主管部门开展防火宣传、火灾隐患排查、重点区域巡护、违规用火处罚等工作。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宋体" w:eastAsia="黑体" w:cs="黑体"/>
          <w:i w:val="0"/>
          <w:caps w:val="0"/>
          <w:color w:val="auto"/>
          <w:spacing w:val="0"/>
          <w:sz w:val="31"/>
          <w:szCs w:val="31"/>
          <w:highlight w:val="none"/>
          <w:shd w:val="clear" w:fill="FFFFFF"/>
        </w:rPr>
      </w:pPr>
      <w:bookmarkStart w:id="4" w:name="_Toc226639566_WPSOffice_Level2"/>
      <w:bookmarkStart w:id="5" w:name="_Toc1416312698_WPSOffice_Level2"/>
      <w:r>
        <w:rPr>
          <w:rFonts w:hint="eastAsia" w:ascii="黑体" w:hAnsi="宋体" w:eastAsia="黑体" w:cs="黑体"/>
          <w:i w:val="0"/>
          <w:caps w:val="0"/>
          <w:color w:val="auto"/>
          <w:spacing w:val="0"/>
          <w:sz w:val="31"/>
          <w:szCs w:val="31"/>
          <w:highlight w:val="none"/>
          <w:shd w:val="clear" w:fill="FFFFFF"/>
        </w:rPr>
        <w:t>二、机构设置及人员情况</w:t>
      </w:r>
      <w:bookmarkEnd w:id="4"/>
      <w:bookmarkEnd w:id="5"/>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自治区</w:t>
      </w:r>
      <w:r>
        <w:rPr>
          <w:rFonts w:hint="eastAsia" w:ascii="仿宋_GB2312" w:eastAsia="仿宋_GB2312"/>
          <w:sz w:val="32"/>
          <w:szCs w:val="32"/>
          <w:highlight w:val="none"/>
          <w:lang w:eastAsia="zh-CN"/>
        </w:rPr>
        <w:t>公安厅</w:t>
      </w:r>
      <w:r>
        <w:rPr>
          <w:rFonts w:hint="eastAsia" w:ascii="仿宋_GB2312" w:eastAsia="仿宋_GB2312"/>
          <w:sz w:val="32"/>
          <w:szCs w:val="32"/>
          <w:highlight w:val="none"/>
        </w:rPr>
        <w:t>森林公安</w:t>
      </w:r>
      <w:r>
        <w:rPr>
          <w:rFonts w:hint="eastAsia" w:ascii="仿宋_GB2312" w:eastAsia="仿宋_GB2312"/>
          <w:sz w:val="32"/>
          <w:szCs w:val="32"/>
          <w:highlight w:val="none"/>
          <w:lang w:eastAsia="zh-CN"/>
        </w:rPr>
        <w:t>直属二分</w:t>
      </w:r>
      <w:r>
        <w:rPr>
          <w:rFonts w:hint="eastAsia" w:ascii="仿宋_GB2312" w:eastAsia="仿宋_GB2312"/>
          <w:sz w:val="32"/>
          <w:szCs w:val="32"/>
          <w:highlight w:val="none"/>
        </w:rPr>
        <w:t>局</w:t>
      </w:r>
      <w:r>
        <w:rPr>
          <w:rFonts w:hint="eastAsia" w:ascii="仿宋_GB2312" w:eastAsia="仿宋_GB2312"/>
          <w:sz w:val="32"/>
          <w:szCs w:val="32"/>
          <w:highlight w:val="none"/>
          <w:lang w:eastAsia="zh-CN"/>
        </w:rPr>
        <w:t>维都派出所</w:t>
      </w:r>
      <w:r>
        <w:rPr>
          <w:rFonts w:hint="eastAsia" w:ascii="仿宋_GB2312" w:eastAsia="仿宋_GB2312"/>
          <w:sz w:val="32"/>
          <w:szCs w:val="32"/>
          <w:highlight w:val="none"/>
        </w:rPr>
        <w:t>是自治区本级</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级预算单位。派出所编制民警</w:t>
      </w: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人，工勤1人。内设领导职务：</w:t>
      </w:r>
      <w:r>
        <w:rPr>
          <w:rFonts w:hint="eastAsia" w:ascii="仿宋_GB2312" w:eastAsia="仿宋_GB2312"/>
          <w:sz w:val="32"/>
          <w:szCs w:val="32"/>
          <w:highlight w:val="none"/>
          <w:lang w:eastAsia="zh-CN"/>
        </w:rPr>
        <w:t>所长</w:t>
      </w:r>
      <w:r>
        <w:rPr>
          <w:rFonts w:hint="eastAsia" w:ascii="仿宋_GB2312" w:eastAsia="仿宋_GB2312"/>
          <w:sz w:val="32"/>
          <w:szCs w:val="32"/>
          <w:highlight w:val="none"/>
          <w:lang w:val="en-US" w:eastAsia="zh-CN"/>
        </w:rPr>
        <w:t>1人，</w:t>
      </w:r>
      <w:r>
        <w:rPr>
          <w:rFonts w:hint="eastAsia" w:ascii="仿宋_GB2312" w:eastAsia="仿宋_GB2312"/>
          <w:sz w:val="32"/>
          <w:szCs w:val="32"/>
          <w:highlight w:val="none"/>
        </w:rPr>
        <w:t>教导员1人，副所长2人</w:t>
      </w:r>
      <w:r>
        <w:rPr>
          <w:rFonts w:hint="eastAsia" w:ascii="仿宋_GB2312" w:eastAsia="仿宋_GB2312"/>
          <w:sz w:val="32"/>
          <w:szCs w:val="32"/>
          <w:highlight w:val="none"/>
          <w:lang w:eastAsia="zh-CN"/>
        </w:rPr>
        <w:t>。</w:t>
      </w:r>
    </w:p>
    <w:p>
      <w:pPr>
        <w:adjustRightInd w:val="0"/>
        <w:snapToGrid w:val="0"/>
        <w:spacing w:line="560" w:lineRule="exact"/>
        <w:ind w:right="-218" w:rightChars="-104" w:firstLine="620" w:firstLineChars="200"/>
        <w:rPr>
          <w:color w:val="auto"/>
          <w:highlight w:val="none"/>
        </w:rPr>
      </w:pPr>
      <w:bookmarkStart w:id="6" w:name="_Toc138845661_WPSOffice_Level1"/>
      <w:bookmarkStart w:id="7" w:name="_Toc1949987998_WPSOffice_Level1"/>
      <w:r>
        <w:rPr>
          <w:rFonts w:hint="eastAsia" w:ascii="黑体" w:hAnsi="宋体" w:eastAsia="黑体" w:cs="黑体"/>
          <w:i w:val="0"/>
          <w:caps w:val="0"/>
          <w:color w:val="auto"/>
          <w:spacing w:val="0"/>
          <w:sz w:val="31"/>
          <w:szCs w:val="31"/>
          <w:highlight w:val="none"/>
          <w:shd w:val="clear" w:fill="FFFFFF"/>
        </w:rPr>
        <w:t>第二部分：</w:t>
      </w:r>
      <w:r>
        <w:rPr>
          <w:rFonts w:hint="eastAsia" w:ascii="黑体" w:hAnsi="黑体" w:eastAsia="黑体" w:cs="黑体"/>
          <w:sz w:val="32"/>
          <w:szCs w:val="32"/>
          <w:highlight w:val="none"/>
          <w:shd w:val="clear" w:color="auto" w:fill="auto"/>
        </w:rPr>
        <w:t>广西壮族自治区公安厅森林公安直属二分局</w:t>
      </w:r>
      <w:r>
        <w:rPr>
          <w:rFonts w:hint="eastAsia" w:ascii="黑体" w:hAnsi="黑体" w:eastAsia="黑体" w:cs="黑体"/>
          <w:sz w:val="32"/>
          <w:szCs w:val="32"/>
          <w:highlight w:val="none"/>
          <w:shd w:val="clear" w:color="auto" w:fill="auto"/>
          <w:lang w:eastAsia="zh-CN"/>
        </w:rPr>
        <w:t>维都派出所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年单位预算情况说明</w:t>
      </w:r>
      <w:bookmarkEnd w:id="6"/>
      <w:bookmarkEnd w:id="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bookmarkStart w:id="8" w:name="_Toc1541087303_WPSOffice_Level2"/>
      <w:bookmarkStart w:id="9" w:name="_Toc1765925063_WPSOffice_Level2"/>
      <w:r>
        <w:rPr>
          <w:rFonts w:hint="eastAsia" w:ascii="黑体" w:hAnsi="宋体" w:eastAsia="黑体" w:cs="黑体"/>
          <w:i w:val="0"/>
          <w:caps w:val="0"/>
          <w:color w:val="auto"/>
          <w:spacing w:val="0"/>
          <w:sz w:val="31"/>
          <w:szCs w:val="31"/>
          <w:highlight w:val="none"/>
          <w:shd w:val="clear" w:fill="FFFFFF"/>
        </w:rPr>
        <w:t>一、</w:t>
      </w:r>
      <w:r>
        <w:rPr>
          <w:rFonts w:hint="eastAsia" w:ascii="黑体" w:hAnsi="宋体" w:eastAsia="黑体" w:cs="黑体"/>
          <w:i w:val="0"/>
          <w:caps w:val="0"/>
          <w:color w:val="auto"/>
          <w:spacing w:val="0"/>
          <w:sz w:val="31"/>
          <w:szCs w:val="31"/>
          <w:highlight w:val="none"/>
          <w:shd w:val="clear" w:fill="FFFFFF"/>
          <w:lang w:eastAsia="zh-CN"/>
        </w:rPr>
        <w:t>单位</w:t>
      </w:r>
      <w:r>
        <w:rPr>
          <w:rFonts w:hint="eastAsia" w:ascii="黑体" w:hAnsi="宋体" w:eastAsia="黑体" w:cs="黑体"/>
          <w:i w:val="0"/>
          <w:caps w:val="0"/>
          <w:color w:val="auto"/>
          <w:spacing w:val="0"/>
          <w:sz w:val="31"/>
          <w:szCs w:val="31"/>
          <w:highlight w:val="none"/>
          <w:shd w:val="clear" w:fill="FFFFFF"/>
        </w:rPr>
        <w:t>收支总体情况说明</w:t>
      </w:r>
      <w:bookmarkEnd w:id="8"/>
      <w:bookmarkEnd w:id="9"/>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我单位总收入</w:t>
      </w:r>
      <w:r>
        <w:rPr>
          <w:rFonts w:hint="eastAsia" w:ascii="仿宋_GB2312" w:eastAsia="仿宋_GB2312"/>
          <w:sz w:val="32"/>
          <w:szCs w:val="32"/>
          <w:highlight w:val="none"/>
          <w:lang w:val="en-US" w:eastAsia="zh-CN"/>
        </w:rPr>
        <w:t>369.25</w:t>
      </w:r>
      <w:r>
        <w:rPr>
          <w:rFonts w:hint="eastAsia" w:ascii="仿宋_GB2312" w:eastAsia="仿宋_GB2312"/>
          <w:sz w:val="32"/>
          <w:szCs w:val="32"/>
          <w:highlight w:val="none"/>
          <w:lang w:eastAsia="zh-CN"/>
        </w:rPr>
        <w:t>万元，总支出</w:t>
      </w:r>
      <w:r>
        <w:rPr>
          <w:rFonts w:hint="eastAsia" w:ascii="仿宋_GB2312" w:eastAsia="仿宋_GB2312"/>
          <w:sz w:val="32"/>
          <w:szCs w:val="32"/>
          <w:highlight w:val="none"/>
          <w:lang w:val="en-US" w:eastAsia="zh-CN"/>
        </w:rPr>
        <w:t>369.25万元</w:t>
      </w:r>
      <w:r>
        <w:rPr>
          <w:rFonts w:hint="eastAsia" w:ascii="仿宋_GB2312" w:eastAsia="仿宋_GB2312"/>
          <w:sz w:val="32"/>
          <w:szCs w:val="32"/>
          <w:highlight w:val="none"/>
          <w:lang w:eastAsia="zh-CN"/>
        </w:rPr>
        <w:t>。总收入较上年度</w:t>
      </w:r>
      <w:r>
        <w:rPr>
          <w:rFonts w:hint="eastAsia" w:ascii="仿宋_GB2312" w:eastAsia="仿宋_GB2312"/>
          <w:sz w:val="32"/>
          <w:szCs w:val="32"/>
          <w:highlight w:val="none"/>
          <w:lang w:val="en-US" w:eastAsia="zh-CN"/>
        </w:rPr>
        <w:t>增加60.87万元，增长19.74</w:t>
      </w:r>
      <w:r>
        <w:rPr>
          <w:rFonts w:hint="eastAsia" w:ascii="仿宋_GB2312" w:eastAsia="仿宋_GB2312"/>
          <w:sz w:val="32"/>
          <w:szCs w:val="32"/>
          <w:highlight w:val="none"/>
          <w:lang w:eastAsia="zh-CN"/>
        </w:rPr>
        <w:t>％，主要原因：</w:t>
      </w:r>
      <w:r>
        <w:rPr>
          <w:rFonts w:hint="eastAsia" w:ascii="仿宋_GB2312" w:eastAsia="仿宋_GB2312"/>
          <w:sz w:val="32"/>
          <w:szCs w:val="32"/>
          <w:highlight w:val="none"/>
          <w:lang w:val="en-US" w:eastAsia="zh-CN"/>
        </w:rPr>
        <w:t>人员增加（新录用3人）及增加物业管理费和警犬驯养业务工作经费。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总支出较上年度</w:t>
      </w:r>
      <w:r>
        <w:rPr>
          <w:rFonts w:hint="eastAsia" w:ascii="仿宋_GB2312" w:eastAsia="仿宋_GB2312"/>
          <w:sz w:val="32"/>
          <w:szCs w:val="32"/>
          <w:highlight w:val="none"/>
          <w:lang w:val="en-US" w:eastAsia="zh-CN"/>
        </w:rPr>
        <w:t>增加60.87万元，增长19.74</w:t>
      </w:r>
      <w:r>
        <w:rPr>
          <w:rFonts w:hint="eastAsia" w:ascii="仿宋_GB2312" w:eastAsia="仿宋_GB2312"/>
          <w:sz w:val="32"/>
          <w:szCs w:val="32"/>
          <w:highlight w:val="none"/>
          <w:lang w:eastAsia="zh-CN"/>
        </w:rPr>
        <w:t>％，主要原因：</w:t>
      </w:r>
      <w:r>
        <w:rPr>
          <w:rFonts w:hint="eastAsia" w:ascii="仿宋_GB2312" w:eastAsia="仿宋_GB2312"/>
          <w:sz w:val="32"/>
          <w:szCs w:val="32"/>
          <w:highlight w:val="none"/>
          <w:lang w:val="en-US" w:eastAsia="zh-CN"/>
        </w:rPr>
        <w:t>人员增加（新录用3人）及增加物业管理费和警犬驯养业务工作经费。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bookmarkStart w:id="10" w:name="_Toc657360593_WPSOffice_Level2"/>
      <w:bookmarkStart w:id="11" w:name="_Toc879242040_WPSOffice_Level2"/>
      <w:r>
        <w:rPr>
          <w:rFonts w:hint="eastAsia" w:ascii="黑体" w:hAnsi="宋体" w:eastAsia="黑体" w:cs="黑体"/>
          <w:i w:val="0"/>
          <w:caps w:val="0"/>
          <w:color w:val="auto"/>
          <w:spacing w:val="0"/>
          <w:sz w:val="31"/>
          <w:szCs w:val="31"/>
          <w:highlight w:val="none"/>
          <w:shd w:val="clear" w:fill="FFFFFF"/>
        </w:rPr>
        <w:t>二、</w:t>
      </w:r>
      <w:r>
        <w:rPr>
          <w:rFonts w:hint="eastAsia" w:ascii="黑体" w:hAnsi="宋体" w:eastAsia="黑体" w:cs="黑体"/>
          <w:i w:val="0"/>
          <w:caps w:val="0"/>
          <w:color w:val="auto"/>
          <w:spacing w:val="0"/>
          <w:sz w:val="31"/>
          <w:szCs w:val="31"/>
          <w:highlight w:val="none"/>
          <w:shd w:val="clear" w:fill="FFFFFF"/>
          <w:lang w:eastAsia="zh-CN"/>
        </w:rPr>
        <w:t>单位</w:t>
      </w:r>
      <w:r>
        <w:rPr>
          <w:rFonts w:hint="eastAsia" w:ascii="黑体" w:hAnsi="宋体" w:eastAsia="黑体" w:cs="黑体"/>
          <w:i w:val="0"/>
          <w:caps w:val="0"/>
          <w:color w:val="auto"/>
          <w:spacing w:val="0"/>
          <w:sz w:val="31"/>
          <w:szCs w:val="31"/>
          <w:highlight w:val="none"/>
          <w:shd w:val="clear" w:fill="FFFFFF"/>
        </w:rPr>
        <w:t>收入总体情况说明</w:t>
      </w:r>
      <w:bookmarkEnd w:id="10"/>
      <w:bookmarkEnd w:id="11"/>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我单位总收入</w:t>
      </w:r>
      <w:r>
        <w:rPr>
          <w:rFonts w:hint="eastAsia" w:ascii="仿宋_GB2312" w:eastAsia="仿宋_GB2312"/>
          <w:sz w:val="32"/>
          <w:szCs w:val="32"/>
          <w:highlight w:val="none"/>
          <w:lang w:val="en-US" w:eastAsia="zh-CN"/>
        </w:rPr>
        <w:t>369.25</w:t>
      </w:r>
      <w:r>
        <w:rPr>
          <w:rFonts w:hint="eastAsia" w:ascii="仿宋_GB2312" w:eastAsia="仿宋_GB2312"/>
          <w:sz w:val="32"/>
          <w:szCs w:val="32"/>
          <w:highlight w:val="none"/>
          <w:lang w:eastAsia="zh-CN"/>
        </w:rPr>
        <w:t>万元，较上年度</w:t>
      </w:r>
      <w:r>
        <w:rPr>
          <w:rFonts w:hint="eastAsia" w:ascii="仿宋_GB2312" w:eastAsia="仿宋_GB2312"/>
          <w:sz w:val="32"/>
          <w:szCs w:val="32"/>
          <w:highlight w:val="none"/>
          <w:lang w:val="en-US" w:eastAsia="zh-CN"/>
        </w:rPr>
        <w:t>增加60.87</w:t>
      </w:r>
      <w:r>
        <w:rPr>
          <w:rFonts w:hint="eastAsia" w:ascii="仿宋_GB2312" w:eastAsia="仿宋_GB2312"/>
          <w:sz w:val="32"/>
          <w:szCs w:val="32"/>
          <w:highlight w:val="none"/>
          <w:lang w:eastAsia="zh-CN"/>
        </w:rPr>
        <w:t>万元，同比</w:t>
      </w:r>
      <w:r>
        <w:rPr>
          <w:rFonts w:hint="eastAsia" w:ascii="仿宋_GB2312" w:eastAsia="仿宋_GB2312"/>
          <w:sz w:val="32"/>
          <w:szCs w:val="32"/>
          <w:highlight w:val="none"/>
          <w:lang w:val="en-US" w:eastAsia="zh-CN"/>
        </w:rPr>
        <w:t>增长19.74</w:t>
      </w:r>
      <w:r>
        <w:rPr>
          <w:rFonts w:hint="eastAsia" w:ascii="仿宋_GB2312" w:eastAsia="仿宋_GB2312"/>
          <w:sz w:val="32"/>
          <w:szCs w:val="32"/>
          <w:highlight w:val="none"/>
          <w:lang w:eastAsia="zh-CN"/>
        </w:rPr>
        <w:t>％。主要原因：</w:t>
      </w:r>
      <w:r>
        <w:rPr>
          <w:rFonts w:hint="eastAsia" w:ascii="仿宋_GB2312" w:eastAsia="仿宋_GB2312"/>
          <w:sz w:val="32"/>
          <w:szCs w:val="32"/>
          <w:highlight w:val="none"/>
          <w:lang w:val="en-US" w:eastAsia="zh-CN"/>
        </w:rPr>
        <w:t>人员增加（新录用3人）及增加物业管理费和警犬驯养业务工作经费。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bookmarkStart w:id="12" w:name="_Toc1520978647_WPSOffice_Level2"/>
      <w:bookmarkStart w:id="13" w:name="_Toc1730750544_WPSOffice_Level2"/>
      <w:r>
        <w:rPr>
          <w:rFonts w:hint="eastAsia" w:ascii="黑体" w:hAnsi="宋体" w:eastAsia="黑体" w:cs="黑体"/>
          <w:i w:val="0"/>
          <w:caps w:val="0"/>
          <w:color w:val="auto"/>
          <w:spacing w:val="0"/>
          <w:sz w:val="31"/>
          <w:szCs w:val="31"/>
          <w:highlight w:val="none"/>
          <w:shd w:val="clear" w:fill="FFFFFF"/>
        </w:rPr>
        <w:t>三、</w:t>
      </w:r>
      <w:r>
        <w:rPr>
          <w:rFonts w:hint="eastAsia" w:ascii="黑体" w:hAnsi="宋体" w:eastAsia="黑体" w:cs="黑体"/>
          <w:i w:val="0"/>
          <w:caps w:val="0"/>
          <w:color w:val="auto"/>
          <w:spacing w:val="0"/>
          <w:sz w:val="31"/>
          <w:szCs w:val="31"/>
          <w:highlight w:val="none"/>
          <w:shd w:val="clear" w:fill="FFFFFF"/>
          <w:lang w:eastAsia="zh-CN"/>
        </w:rPr>
        <w:t>单位</w:t>
      </w:r>
      <w:r>
        <w:rPr>
          <w:rFonts w:hint="eastAsia" w:ascii="黑体" w:hAnsi="宋体" w:eastAsia="黑体" w:cs="黑体"/>
          <w:i w:val="0"/>
          <w:caps w:val="0"/>
          <w:color w:val="auto"/>
          <w:spacing w:val="0"/>
          <w:sz w:val="31"/>
          <w:szCs w:val="31"/>
          <w:highlight w:val="none"/>
          <w:shd w:val="clear" w:fill="FFFFFF"/>
        </w:rPr>
        <w:t>支出总体情况说明</w:t>
      </w:r>
      <w:bookmarkEnd w:id="12"/>
      <w:bookmarkEnd w:id="13"/>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我单位总支出</w:t>
      </w:r>
      <w:r>
        <w:rPr>
          <w:rFonts w:hint="eastAsia" w:ascii="仿宋_GB2312" w:eastAsia="仿宋_GB2312"/>
          <w:sz w:val="32"/>
          <w:szCs w:val="32"/>
          <w:highlight w:val="none"/>
          <w:lang w:val="en-US" w:eastAsia="zh-CN"/>
        </w:rPr>
        <w:t>369.25</w:t>
      </w:r>
      <w:r>
        <w:rPr>
          <w:rFonts w:hint="eastAsia" w:ascii="仿宋_GB2312" w:eastAsia="仿宋_GB2312"/>
          <w:sz w:val="32"/>
          <w:szCs w:val="32"/>
          <w:highlight w:val="none"/>
          <w:lang w:eastAsia="zh-CN"/>
        </w:rPr>
        <w:t>万元，较上年度</w:t>
      </w:r>
      <w:r>
        <w:rPr>
          <w:rFonts w:hint="eastAsia" w:ascii="仿宋_GB2312" w:eastAsia="仿宋_GB2312"/>
          <w:sz w:val="32"/>
          <w:szCs w:val="32"/>
          <w:highlight w:val="none"/>
          <w:lang w:val="en-US" w:eastAsia="zh-CN"/>
        </w:rPr>
        <w:t>增加60.87</w:t>
      </w:r>
      <w:r>
        <w:rPr>
          <w:rFonts w:hint="eastAsia" w:ascii="仿宋_GB2312" w:eastAsia="仿宋_GB2312"/>
          <w:sz w:val="32"/>
          <w:szCs w:val="32"/>
          <w:highlight w:val="none"/>
          <w:lang w:eastAsia="zh-CN"/>
        </w:rPr>
        <w:t>万元，同比</w:t>
      </w:r>
      <w:r>
        <w:rPr>
          <w:rFonts w:hint="eastAsia" w:ascii="仿宋_GB2312" w:eastAsia="仿宋_GB2312"/>
          <w:sz w:val="32"/>
          <w:szCs w:val="32"/>
          <w:highlight w:val="none"/>
          <w:lang w:val="en-US" w:eastAsia="zh-CN"/>
        </w:rPr>
        <w:t>增长19.74</w:t>
      </w:r>
      <w:r>
        <w:rPr>
          <w:rFonts w:hint="eastAsia" w:ascii="仿宋_GB2312" w:eastAsia="仿宋_GB2312"/>
          <w:sz w:val="32"/>
          <w:szCs w:val="32"/>
          <w:highlight w:val="none"/>
          <w:lang w:eastAsia="zh-CN"/>
        </w:rPr>
        <w:t>％。主要原因：</w:t>
      </w:r>
      <w:r>
        <w:rPr>
          <w:rFonts w:hint="eastAsia" w:ascii="仿宋_GB2312" w:eastAsia="仿宋_GB2312"/>
          <w:sz w:val="32"/>
          <w:szCs w:val="32"/>
          <w:highlight w:val="none"/>
          <w:lang w:val="en-US" w:eastAsia="zh-CN"/>
        </w:rPr>
        <w:t>人员增加（新录用3人）及增加物业管理费和警犬驯养业务工作经费。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bookmarkStart w:id="14" w:name="_Toc1855733145_WPSOffice_Level2"/>
      <w:bookmarkStart w:id="15" w:name="_Toc1230410657_WPSOffice_Level2"/>
      <w:r>
        <w:rPr>
          <w:rFonts w:hint="eastAsia" w:ascii="黑体" w:hAnsi="宋体" w:eastAsia="黑体" w:cs="黑体"/>
          <w:i w:val="0"/>
          <w:caps w:val="0"/>
          <w:color w:val="auto"/>
          <w:spacing w:val="0"/>
          <w:sz w:val="31"/>
          <w:szCs w:val="31"/>
          <w:highlight w:val="none"/>
          <w:shd w:val="clear" w:fill="FFFFFF"/>
        </w:rPr>
        <w:t>四、财政拨款收支总体情况说明</w:t>
      </w:r>
      <w:bookmarkEnd w:id="14"/>
      <w:bookmarkEnd w:id="15"/>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我单位财政拨款总收入</w:t>
      </w:r>
      <w:r>
        <w:rPr>
          <w:rFonts w:hint="eastAsia" w:ascii="仿宋_GB2312" w:eastAsia="仿宋_GB2312"/>
          <w:sz w:val="32"/>
          <w:szCs w:val="32"/>
          <w:highlight w:val="none"/>
          <w:lang w:val="en-US" w:eastAsia="zh-CN"/>
        </w:rPr>
        <w:t>369.25</w:t>
      </w:r>
      <w:r>
        <w:rPr>
          <w:rFonts w:hint="eastAsia" w:ascii="仿宋_GB2312" w:eastAsia="仿宋_GB2312"/>
          <w:sz w:val="32"/>
          <w:szCs w:val="32"/>
          <w:highlight w:val="none"/>
          <w:lang w:eastAsia="zh-CN"/>
        </w:rPr>
        <w:t>万元，总支出</w:t>
      </w:r>
      <w:r>
        <w:rPr>
          <w:rFonts w:hint="eastAsia" w:ascii="仿宋_GB2312" w:eastAsia="仿宋_GB2312"/>
          <w:sz w:val="32"/>
          <w:szCs w:val="32"/>
          <w:highlight w:val="none"/>
          <w:lang w:val="en-US" w:eastAsia="zh-CN"/>
        </w:rPr>
        <w:t>369.25</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rPr>
        <w:t>财政拨款</w:t>
      </w:r>
      <w:r>
        <w:rPr>
          <w:rFonts w:hint="eastAsia" w:ascii="仿宋_GB2312" w:eastAsia="仿宋_GB2312"/>
          <w:sz w:val="32"/>
          <w:szCs w:val="32"/>
          <w:highlight w:val="none"/>
          <w:lang w:eastAsia="zh-CN"/>
        </w:rPr>
        <w:t>总收入较上年</w:t>
      </w:r>
      <w:r>
        <w:rPr>
          <w:rFonts w:hint="eastAsia" w:ascii="仿宋_GB2312" w:eastAsia="仿宋_GB2312"/>
          <w:sz w:val="32"/>
          <w:szCs w:val="32"/>
          <w:highlight w:val="none"/>
          <w:lang w:val="en-US" w:eastAsia="zh-CN"/>
        </w:rPr>
        <w:t>增加60.87</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增长19.74</w:t>
      </w:r>
      <w:r>
        <w:rPr>
          <w:rFonts w:hint="eastAsia" w:ascii="仿宋_GB2312" w:eastAsia="仿宋_GB2312"/>
          <w:sz w:val="32"/>
          <w:szCs w:val="32"/>
          <w:highlight w:val="none"/>
          <w:lang w:eastAsia="zh-CN"/>
        </w:rPr>
        <w:t>％。收入</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lang w:eastAsia="zh-CN"/>
        </w:rPr>
        <w:t>的主要原因：</w:t>
      </w:r>
      <w:r>
        <w:rPr>
          <w:rFonts w:hint="eastAsia" w:ascii="仿宋_GB2312" w:eastAsia="仿宋_GB2312"/>
          <w:sz w:val="32"/>
          <w:szCs w:val="32"/>
          <w:highlight w:val="none"/>
          <w:lang w:val="en-US" w:eastAsia="zh-CN"/>
        </w:rPr>
        <w:t>人员增加（新录用3人）及增加物业管理费和警犬驯养经费。</w:t>
      </w:r>
      <w:r>
        <w:rPr>
          <w:rFonts w:hint="eastAsia" w:ascii="仿宋_GB2312" w:eastAsia="仿宋_GB2312"/>
          <w:sz w:val="32"/>
          <w:szCs w:val="32"/>
          <w:highlight w:val="none"/>
        </w:rPr>
        <w:t>财政拨款</w:t>
      </w:r>
      <w:r>
        <w:rPr>
          <w:rFonts w:hint="eastAsia" w:ascii="仿宋_GB2312" w:eastAsia="仿宋_GB2312"/>
          <w:sz w:val="32"/>
          <w:szCs w:val="32"/>
          <w:highlight w:val="none"/>
          <w:lang w:eastAsia="zh-CN"/>
        </w:rPr>
        <w:t>总</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lang w:eastAsia="zh-CN"/>
        </w:rPr>
        <w:t>较上年</w:t>
      </w:r>
      <w:r>
        <w:rPr>
          <w:rFonts w:hint="eastAsia" w:ascii="仿宋_GB2312" w:eastAsia="仿宋_GB2312"/>
          <w:sz w:val="32"/>
          <w:szCs w:val="32"/>
          <w:highlight w:val="none"/>
          <w:lang w:val="en-US" w:eastAsia="zh-CN"/>
        </w:rPr>
        <w:t>增长19.74</w:t>
      </w:r>
      <w:r>
        <w:rPr>
          <w:rFonts w:hint="eastAsia" w:ascii="仿宋_GB2312" w:eastAsia="仿宋_GB2312"/>
          <w:sz w:val="32"/>
          <w:szCs w:val="32"/>
          <w:highlight w:val="none"/>
          <w:lang w:eastAsia="zh-CN"/>
        </w:rPr>
        <w:t>％，主要原因：</w:t>
      </w:r>
      <w:r>
        <w:rPr>
          <w:rFonts w:hint="eastAsia" w:ascii="仿宋_GB2312" w:eastAsia="仿宋_GB2312"/>
          <w:sz w:val="32"/>
          <w:szCs w:val="32"/>
          <w:highlight w:val="none"/>
          <w:lang w:val="en-US" w:eastAsia="zh-CN"/>
        </w:rPr>
        <w:t>人员增加（新录用3人）及增加物业管理费和警犬驯养业务工作经费。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宋体" w:eastAsia="黑体" w:cs="黑体"/>
          <w:i w:val="0"/>
          <w:caps w:val="0"/>
          <w:color w:val="auto"/>
          <w:spacing w:val="0"/>
          <w:sz w:val="31"/>
          <w:szCs w:val="31"/>
          <w:highlight w:val="none"/>
          <w:shd w:val="clear" w:fill="FFFFFF"/>
        </w:rPr>
      </w:pPr>
      <w:bookmarkStart w:id="16" w:name="_Toc1644506244_WPSOffice_Level2"/>
      <w:bookmarkStart w:id="17" w:name="_Toc497600541_WPSOffice_Level2"/>
      <w:r>
        <w:rPr>
          <w:rFonts w:hint="eastAsia" w:ascii="黑体" w:hAnsi="宋体" w:eastAsia="黑体" w:cs="黑体"/>
          <w:i w:val="0"/>
          <w:caps w:val="0"/>
          <w:color w:val="auto"/>
          <w:spacing w:val="0"/>
          <w:sz w:val="31"/>
          <w:szCs w:val="31"/>
          <w:highlight w:val="none"/>
          <w:shd w:val="clear" w:fill="FFFFFF"/>
        </w:rPr>
        <w:t>一般公共预算支出情况说明</w:t>
      </w:r>
      <w:bookmarkEnd w:id="16"/>
      <w:bookmarkEnd w:id="17"/>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我单位一般公共预算支出共</w:t>
      </w:r>
      <w:r>
        <w:rPr>
          <w:rFonts w:hint="eastAsia" w:ascii="仿宋_GB2312" w:eastAsia="仿宋_GB2312"/>
          <w:sz w:val="32"/>
          <w:szCs w:val="32"/>
          <w:highlight w:val="none"/>
          <w:lang w:val="en-US" w:eastAsia="zh-CN"/>
        </w:rPr>
        <w:t>369.25</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较上年增加60.87</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增长19.74 %，</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lang w:eastAsia="zh-CN"/>
        </w:rPr>
        <w:t>的主要原因：</w:t>
      </w:r>
      <w:r>
        <w:rPr>
          <w:rFonts w:hint="eastAsia" w:ascii="仿宋_GB2312" w:eastAsia="仿宋_GB2312"/>
          <w:sz w:val="32"/>
          <w:szCs w:val="32"/>
          <w:highlight w:val="none"/>
          <w:lang w:val="en-US" w:eastAsia="zh-CN"/>
        </w:rPr>
        <w:t>人员增加（新录用3人）及增加物业管理费和警犬驯养业务工作经费。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按支出功能分类科目划分，共分为</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类，其中：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204公共安全支出类科目支出</w:t>
      </w:r>
      <w:r>
        <w:rPr>
          <w:rFonts w:hint="eastAsia" w:ascii="仿宋_GB2312" w:eastAsia="仿宋_GB2312"/>
          <w:sz w:val="32"/>
          <w:szCs w:val="32"/>
          <w:highlight w:val="none"/>
          <w:lang w:val="en-US" w:eastAsia="zh-CN"/>
        </w:rPr>
        <w:t>274.8</w:t>
      </w:r>
      <w:r>
        <w:rPr>
          <w:rFonts w:hint="eastAsia" w:ascii="仿宋_GB2312" w:eastAsia="仿宋_GB2312"/>
          <w:sz w:val="32"/>
          <w:szCs w:val="32"/>
          <w:highlight w:val="none"/>
          <w:lang w:eastAsia="zh-CN"/>
        </w:rPr>
        <w:t>万元，占支出总预算</w:t>
      </w:r>
      <w:r>
        <w:rPr>
          <w:rFonts w:hint="eastAsia" w:ascii="仿宋_GB2312" w:eastAsia="仿宋_GB2312"/>
          <w:sz w:val="32"/>
          <w:szCs w:val="32"/>
          <w:highlight w:val="none"/>
          <w:lang w:val="en-US" w:eastAsia="zh-CN"/>
        </w:rPr>
        <w:t>74.37</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增加48.88</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增长21.64</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增长</w:t>
      </w:r>
      <w:r>
        <w:rPr>
          <w:rFonts w:hint="eastAsia" w:ascii="仿宋_GB2312" w:eastAsia="仿宋_GB2312"/>
          <w:sz w:val="32"/>
          <w:szCs w:val="32"/>
          <w:highlight w:val="none"/>
          <w:lang w:eastAsia="zh-CN"/>
        </w:rPr>
        <w:t>的主要原因为</w:t>
      </w:r>
      <w:r>
        <w:rPr>
          <w:rFonts w:hint="eastAsia" w:ascii="仿宋_GB2312" w:eastAsia="仿宋_GB2312"/>
          <w:sz w:val="32"/>
          <w:szCs w:val="32"/>
          <w:highlight w:val="none"/>
          <w:lang w:val="en-US" w:eastAsia="zh-CN"/>
        </w:rPr>
        <w:t>人员增加（新录用3人）及增加物业管理费和警犬驯养业务工作经费。</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s="仿宋"/>
          <w:color w:val="auto"/>
          <w:sz w:val="32"/>
          <w:szCs w:val="32"/>
          <w:highlight w:val="none"/>
        </w:rPr>
      </w:pPr>
      <w:r>
        <w:rPr>
          <w:rFonts w:hint="eastAsia" w:ascii="仿宋_GB2312" w:eastAsia="仿宋_GB2312"/>
          <w:sz w:val="32"/>
          <w:szCs w:val="32"/>
          <w:highlight w:val="none"/>
          <w:lang w:eastAsia="zh-CN"/>
        </w:rPr>
        <w:t>208社会保障和就业支出类科目支出</w:t>
      </w:r>
      <w:r>
        <w:rPr>
          <w:rFonts w:hint="eastAsia" w:ascii="仿宋_GB2312" w:eastAsia="仿宋_GB2312"/>
          <w:sz w:val="32"/>
          <w:szCs w:val="32"/>
          <w:highlight w:val="none"/>
          <w:lang w:val="en-US" w:eastAsia="zh-CN"/>
        </w:rPr>
        <w:t>47.9</w:t>
      </w:r>
      <w:r>
        <w:rPr>
          <w:rFonts w:hint="eastAsia" w:ascii="仿宋_GB2312" w:eastAsia="仿宋_GB2312"/>
          <w:sz w:val="32"/>
          <w:szCs w:val="32"/>
          <w:highlight w:val="none"/>
          <w:lang w:eastAsia="zh-CN"/>
        </w:rPr>
        <w:t>万元，占支出总预算</w:t>
      </w:r>
      <w:r>
        <w:rPr>
          <w:rFonts w:hint="eastAsia" w:ascii="仿宋_GB2312" w:eastAsia="仿宋_GB2312"/>
          <w:sz w:val="32"/>
          <w:szCs w:val="32"/>
          <w:highlight w:val="none"/>
          <w:lang w:val="en-US" w:eastAsia="zh-CN"/>
        </w:rPr>
        <w:t>12.96</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增加0.72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增长2.61</w:t>
      </w:r>
      <w:r>
        <w:rPr>
          <w:rFonts w:hint="eastAsia" w:ascii="仿宋_GB2312" w:eastAsia="仿宋_GB2312"/>
          <w:sz w:val="32"/>
          <w:szCs w:val="32"/>
          <w:highlight w:val="none"/>
          <w:lang w:eastAsia="zh-CN"/>
        </w:rPr>
        <w:t>％；增长的主要原因为</w:t>
      </w:r>
      <w:r>
        <w:rPr>
          <w:rFonts w:hint="eastAsia" w:ascii="仿宋_GB2312" w:eastAsia="仿宋_GB2312"/>
          <w:sz w:val="32"/>
          <w:szCs w:val="32"/>
          <w:highlight w:val="none"/>
          <w:lang w:val="en-US" w:eastAsia="zh-CN"/>
        </w:rPr>
        <w:t>人员增加（新录用3人）及</w:t>
      </w:r>
      <w:r>
        <w:rPr>
          <w:rFonts w:hint="eastAsia" w:ascii="仿宋_GB2312" w:eastAsia="仿宋_GB2312"/>
          <w:sz w:val="32"/>
          <w:szCs w:val="32"/>
          <w:highlight w:val="none"/>
          <w:lang w:eastAsia="zh-CN"/>
        </w:rPr>
        <w:t>人员晋级晋职工资增加，测算金额相应增加。</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s="仿宋"/>
          <w:color w:val="auto"/>
          <w:sz w:val="32"/>
          <w:szCs w:val="32"/>
          <w:highlight w:val="none"/>
        </w:rPr>
      </w:pPr>
      <w:r>
        <w:rPr>
          <w:rFonts w:hint="eastAsia" w:ascii="仿宋_GB2312" w:eastAsia="仿宋_GB2312"/>
          <w:sz w:val="32"/>
          <w:szCs w:val="32"/>
          <w:highlight w:val="none"/>
          <w:lang w:eastAsia="zh-CN"/>
        </w:rPr>
        <w:t>210卫生健康支出类科目支出</w:t>
      </w:r>
      <w:r>
        <w:rPr>
          <w:rFonts w:hint="eastAsia" w:ascii="仿宋_GB2312" w:eastAsia="仿宋_GB2312"/>
          <w:sz w:val="32"/>
          <w:szCs w:val="32"/>
          <w:highlight w:val="none"/>
          <w:lang w:val="en-US" w:eastAsia="zh-CN"/>
        </w:rPr>
        <w:t>24.96</w:t>
      </w:r>
      <w:r>
        <w:rPr>
          <w:rFonts w:hint="eastAsia" w:ascii="仿宋_GB2312" w:eastAsia="仿宋_GB2312"/>
          <w:sz w:val="32"/>
          <w:szCs w:val="32"/>
          <w:highlight w:val="none"/>
          <w:lang w:eastAsia="zh-CN"/>
        </w:rPr>
        <w:t>万元，占支出总预算</w:t>
      </w:r>
      <w:r>
        <w:rPr>
          <w:rFonts w:hint="eastAsia" w:ascii="仿宋_GB2312" w:eastAsia="仿宋_GB2312"/>
          <w:sz w:val="32"/>
          <w:szCs w:val="32"/>
          <w:highlight w:val="none"/>
          <w:lang w:val="en-US" w:eastAsia="zh-CN"/>
        </w:rPr>
        <w:t>6.75</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增加6.01</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增长31.72</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增长</w:t>
      </w:r>
      <w:r>
        <w:rPr>
          <w:rFonts w:hint="eastAsia" w:ascii="仿宋_GB2312" w:eastAsia="仿宋_GB2312"/>
          <w:sz w:val="32"/>
          <w:szCs w:val="32"/>
          <w:highlight w:val="none"/>
          <w:lang w:eastAsia="zh-CN"/>
        </w:rPr>
        <w:t>的主要原因为</w:t>
      </w:r>
      <w:r>
        <w:rPr>
          <w:rFonts w:hint="eastAsia" w:ascii="仿宋_GB2312" w:eastAsia="仿宋_GB2312"/>
          <w:sz w:val="32"/>
          <w:szCs w:val="32"/>
          <w:highlight w:val="none"/>
          <w:lang w:val="en-US" w:eastAsia="zh-CN"/>
        </w:rPr>
        <w:t>人员增加（新录用3人）及</w:t>
      </w:r>
      <w:r>
        <w:rPr>
          <w:rFonts w:hint="eastAsia" w:ascii="仿宋_GB2312" w:eastAsia="仿宋_GB2312"/>
          <w:sz w:val="32"/>
          <w:szCs w:val="32"/>
          <w:highlight w:val="none"/>
          <w:lang w:eastAsia="zh-CN"/>
        </w:rPr>
        <w:t>人员晋级晋职工资增加，测算金额相应增加。</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s="仿宋"/>
          <w:color w:val="auto"/>
          <w:sz w:val="32"/>
          <w:szCs w:val="32"/>
          <w:highlight w:val="none"/>
        </w:rPr>
      </w:pPr>
      <w:r>
        <w:rPr>
          <w:rFonts w:hint="eastAsia" w:ascii="仿宋_GB2312" w:eastAsia="仿宋_GB2312"/>
          <w:sz w:val="32"/>
          <w:szCs w:val="32"/>
          <w:highlight w:val="none"/>
          <w:lang w:eastAsia="zh-CN"/>
        </w:rPr>
        <w:t>221住房保障支出类科目支出</w:t>
      </w:r>
      <w:r>
        <w:rPr>
          <w:rFonts w:hint="eastAsia" w:ascii="仿宋_GB2312" w:eastAsia="仿宋_GB2312"/>
          <w:sz w:val="32"/>
          <w:szCs w:val="32"/>
          <w:highlight w:val="none"/>
          <w:lang w:val="en-US" w:eastAsia="zh-CN"/>
        </w:rPr>
        <w:t>21.58</w:t>
      </w:r>
      <w:r>
        <w:rPr>
          <w:rFonts w:hint="eastAsia" w:ascii="仿宋_GB2312" w:eastAsia="仿宋_GB2312"/>
          <w:sz w:val="32"/>
          <w:szCs w:val="32"/>
          <w:highlight w:val="none"/>
          <w:lang w:eastAsia="zh-CN"/>
        </w:rPr>
        <w:t>万元，占支出总预算</w:t>
      </w:r>
      <w:r>
        <w:rPr>
          <w:rFonts w:hint="eastAsia" w:ascii="仿宋_GB2312" w:eastAsia="仿宋_GB2312"/>
          <w:sz w:val="32"/>
          <w:szCs w:val="32"/>
          <w:highlight w:val="none"/>
          <w:lang w:val="en-US" w:eastAsia="zh-CN"/>
        </w:rPr>
        <w:t>5.84</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增加3.36</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增长18.44</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增长</w:t>
      </w:r>
      <w:r>
        <w:rPr>
          <w:rFonts w:hint="eastAsia" w:ascii="仿宋_GB2312" w:eastAsia="仿宋_GB2312"/>
          <w:sz w:val="32"/>
          <w:szCs w:val="32"/>
          <w:highlight w:val="none"/>
          <w:lang w:eastAsia="zh-CN"/>
        </w:rPr>
        <w:t>的主要原因为</w:t>
      </w:r>
      <w:r>
        <w:rPr>
          <w:rFonts w:hint="eastAsia" w:ascii="仿宋_GB2312" w:eastAsia="仿宋_GB2312"/>
          <w:sz w:val="32"/>
          <w:szCs w:val="32"/>
          <w:highlight w:val="none"/>
          <w:lang w:val="en-US" w:eastAsia="zh-CN"/>
        </w:rPr>
        <w:t>人员增加（新录用3人）及</w:t>
      </w:r>
      <w:r>
        <w:rPr>
          <w:rFonts w:hint="eastAsia" w:ascii="仿宋_GB2312" w:eastAsia="仿宋_GB2312"/>
          <w:sz w:val="32"/>
          <w:szCs w:val="32"/>
          <w:highlight w:val="none"/>
          <w:lang w:eastAsia="zh-CN"/>
        </w:rPr>
        <w:t>人员晋级晋职工资增加，测算金额相应增加。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宋体" w:eastAsia="黑体" w:cs="黑体"/>
          <w:i w:val="0"/>
          <w:caps w:val="0"/>
          <w:color w:val="auto"/>
          <w:spacing w:val="0"/>
          <w:sz w:val="31"/>
          <w:szCs w:val="31"/>
          <w:highlight w:val="none"/>
          <w:shd w:val="clear" w:fill="FFFFFF"/>
        </w:rPr>
      </w:pPr>
      <w:bookmarkStart w:id="18" w:name="_Toc141098289_WPSOffice_Level2"/>
      <w:bookmarkStart w:id="19" w:name="_Toc172893339_WPSOffice_Level2"/>
      <w:r>
        <w:rPr>
          <w:rFonts w:hint="eastAsia" w:ascii="黑体" w:hAnsi="宋体" w:eastAsia="黑体" w:cs="黑体"/>
          <w:i w:val="0"/>
          <w:caps w:val="0"/>
          <w:color w:val="auto"/>
          <w:spacing w:val="0"/>
          <w:sz w:val="31"/>
          <w:szCs w:val="31"/>
          <w:highlight w:val="none"/>
          <w:shd w:val="clear" w:fill="FFFFFF"/>
        </w:rPr>
        <w:t>一般公共预算基本支出情况说明</w:t>
      </w:r>
      <w:bookmarkEnd w:id="18"/>
      <w:bookmarkEnd w:id="19"/>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 w:hAnsi="仿宋" w:eastAsia="仿宋" w:cs="仿宋"/>
          <w:sz w:val="32"/>
          <w:szCs w:val="32"/>
          <w:highlight w:val="none"/>
          <w:lang w:eastAsia="zh-CN"/>
        </w:rPr>
        <w:t>我单位</w:t>
      </w:r>
      <w:r>
        <w:rPr>
          <w:rFonts w:hint="eastAsia" w:ascii="仿宋" w:hAnsi="仿宋" w:eastAsia="仿宋" w:cs="仿宋"/>
          <w:sz w:val="32"/>
          <w:szCs w:val="32"/>
          <w:highlight w:val="none"/>
        </w:rPr>
        <w:t>一般公共预算基本支出</w:t>
      </w:r>
      <w:r>
        <w:rPr>
          <w:rFonts w:hint="eastAsia" w:ascii="仿宋" w:hAnsi="仿宋" w:eastAsia="仿宋" w:cs="仿宋"/>
          <w:sz w:val="32"/>
          <w:szCs w:val="32"/>
          <w:highlight w:val="none"/>
          <w:lang w:eastAsia="zh-CN"/>
        </w:rPr>
        <w:t>共</w:t>
      </w:r>
      <w:r>
        <w:rPr>
          <w:rFonts w:hint="eastAsia" w:ascii="仿宋" w:hAnsi="仿宋" w:eastAsia="仿宋" w:cs="仿宋"/>
          <w:sz w:val="32"/>
          <w:szCs w:val="32"/>
          <w:highlight w:val="none"/>
          <w:lang w:val="en-US" w:eastAsia="zh-CN"/>
        </w:rPr>
        <w:t>320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占支出预算86.66%，</w:t>
      </w:r>
      <w:r>
        <w:rPr>
          <w:rFonts w:hint="eastAsia" w:ascii="仿宋" w:hAnsi="仿宋" w:eastAsia="仿宋" w:cs="仿宋"/>
          <w:sz w:val="32"/>
          <w:szCs w:val="32"/>
          <w:highlight w:val="none"/>
          <w:lang w:eastAsia="zh-CN"/>
        </w:rPr>
        <w:t>较上年</w:t>
      </w:r>
      <w:r>
        <w:rPr>
          <w:rFonts w:hint="eastAsia" w:ascii="仿宋" w:hAnsi="仿宋" w:eastAsia="仿宋" w:cs="仿宋"/>
          <w:sz w:val="32"/>
          <w:szCs w:val="32"/>
          <w:highlight w:val="none"/>
          <w:lang w:val="en-US" w:eastAsia="zh-CN"/>
        </w:rPr>
        <w:t>增加45.93万元，增长16.76%，</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lang w:eastAsia="zh-CN"/>
        </w:rPr>
        <w:t>的主要原因</w:t>
      </w:r>
      <w:r>
        <w:rPr>
          <w:rFonts w:hint="eastAsia" w:ascii="仿宋_GB2312" w:eastAsia="仿宋_GB2312"/>
          <w:sz w:val="32"/>
          <w:szCs w:val="32"/>
          <w:highlight w:val="none"/>
          <w:lang w:val="en-US" w:eastAsia="zh-CN"/>
        </w:rPr>
        <w:t>人员增加（新录用3人）。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按照经济分类科目支出如下：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工资福利预算支出252.91万元，占基本支出预算79.03%，同比增加42.51万元，</w:t>
      </w:r>
      <w:r>
        <w:rPr>
          <w:rFonts w:hint="eastAsia" w:ascii="仿宋" w:hAnsi="仿宋" w:eastAsia="仿宋" w:cs="仿宋"/>
          <w:sz w:val="32"/>
          <w:szCs w:val="32"/>
          <w:highlight w:val="none"/>
          <w:lang w:val="en-US" w:eastAsia="zh-CN"/>
        </w:rPr>
        <w:t>增长20.16%，</w:t>
      </w:r>
      <w:r>
        <w:rPr>
          <w:rFonts w:hint="eastAsia" w:ascii="仿宋_GB2312" w:eastAsia="仿宋_GB2312"/>
          <w:sz w:val="32"/>
          <w:szCs w:val="32"/>
          <w:highlight w:val="none"/>
          <w:lang w:val="en-US" w:eastAsia="zh-CN"/>
        </w:rPr>
        <w:t>增长原因为人员增加（新录用3人）。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auto"/>
          <w:spacing w:val="0"/>
          <w:sz w:val="32"/>
          <w:szCs w:val="32"/>
          <w:highlight w:val="none"/>
          <w:shd w:val="clear" w:fill="FFFFFF"/>
        </w:rPr>
      </w:pPr>
      <w:r>
        <w:rPr>
          <w:rFonts w:hint="eastAsia" w:ascii="仿宋_GB2312" w:eastAsia="仿宋_GB2312"/>
          <w:sz w:val="32"/>
          <w:szCs w:val="32"/>
          <w:highlight w:val="none"/>
          <w:lang w:val="en-US" w:eastAsia="zh-CN"/>
        </w:rPr>
        <w:t>公用经费（商品和服务支出）预算49.26万元，占基本预算15.39 %，同比增加1.72万元，增长3.62%，增长原因为人员增加（新录用3人）。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对个人和家庭的补助支出17.83万元，占基本支出预算5.57%，同比增加1.71万元，增长10.6%，增长原因为人员增加（新录用3人）。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eastAsia="黑体"/>
          <w:color w:val="auto"/>
          <w:highlight w:val="none"/>
          <w:lang w:eastAsia="zh-CN"/>
        </w:rPr>
      </w:pPr>
      <w:bookmarkStart w:id="20" w:name="_Toc1937386639_WPSOffice_Level2"/>
      <w:bookmarkStart w:id="21" w:name="_Toc510438161_WPSOffice_Level2"/>
      <w:r>
        <w:rPr>
          <w:rFonts w:hint="eastAsia" w:ascii="黑体" w:hAnsi="宋体" w:eastAsia="黑体" w:cs="黑体"/>
          <w:i w:val="0"/>
          <w:caps w:val="0"/>
          <w:color w:val="auto"/>
          <w:spacing w:val="0"/>
          <w:sz w:val="31"/>
          <w:szCs w:val="31"/>
          <w:highlight w:val="none"/>
          <w:shd w:val="clear" w:fill="FFFFFF"/>
        </w:rPr>
        <w:t>七、一般公共预算“三公”经费情况说明</w:t>
      </w:r>
      <w:bookmarkEnd w:id="20"/>
      <w:bookmarkEnd w:id="21"/>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年一般公共预算安排的“三公</w:t>
      </w:r>
      <w:r>
        <w:rPr>
          <w:rFonts w:hint="eastAsia" w:ascii="仿宋_GB2312" w:eastAsia="仿宋_GB2312"/>
          <w:sz w:val="32"/>
          <w:szCs w:val="32"/>
          <w:highlight w:val="none"/>
          <w:lang w:val="en-US" w:eastAsia="zh-CN"/>
        </w:rPr>
        <w:t>两费</w:t>
      </w:r>
      <w:r>
        <w:rPr>
          <w:rFonts w:hint="eastAsia" w:ascii="仿宋_GB2312" w:eastAsia="仿宋_GB2312"/>
          <w:sz w:val="32"/>
          <w:szCs w:val="32"/>
          <w:highlight w:val="none"/>
          <w:lang w:eastAsia="zh-CN"/>
        </w:rPr>
        <w:t>”经费支出预算</w:t>
      </w:r>
      <w:r>
        <w:rPr>
          <w:rFonts w:hint="eastAsia" w:ascii="仿宋_GB2312" w:eastAsia="仿宋_GB2312"/>
          <w:sz w:val="32"/>
          <w:szCs w:val="32"/>
          <w:highlight w:val="none"/>
          <w:lang w:val="en-US" w:eastAsia="zh-CN"/>
        </w:rPr>
        <w:t>4.54</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同比减少3.28</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下降41.94，下降的原因为2025年无预算安排公务接待费和会议费。</w:t>
      </w:r>
      <w:r>
        <w:rPr>
          <w:rFonts w:hint="eastAsia" w:ascii="仿宋_GB2312" w:eastAsia="仿宋_GB2312"/>
          <w:sz w:val="32"/>
          <w:szCs w:val="32"/>
          <w:highlight w:val="none"/>
          <w:lang w:eastAsia="zh-CN"/>
        </w:rPr>
        <w:t>具体如下：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因公出国（境）费202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年预算安排</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与上年持平。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公务接待费202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年预算安排</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同比减少0.92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下降100%，下降的原因为2025年无预算安排公务接待费。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公务用车购置及运行费202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年预算安排</w:t>
      </w:r>
      <w:r>
        <w:rPr>
          <w:rFonts w:hint="eastAsia" w:ascii="仿宋_GB2312" w:eastAsia="仿宋_GB2312"/>
          <w:sz w:val="32"/>
          <w:szCs w:val="32"/>
          <w:highlight w:val="none"/>
          <w:lang w:val="en-US" w:eastAsia="zh-CN"/>
        </w:rPr>
        <w:t>3.97</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与上年持平。其中：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公务用车购置费202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年预算安排</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与上年持平。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公务用车运行维护费202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年预算安排</w:t>
      </w:r>
      <w:r>
        <w:rPr>
          <w:rFonts w:hint="eastAsia" w:ascii="仿宋_GB2312" w:eastAsia="仿宋_GB2312"/>
          <w:sz w:val="32"/>
          <w:szCs w:val="32"/>
          <w:highlight w:val="none"/>
          <w:lang w:val="en-US" w:eastAsia="zh-CN"/>
        </w:rPr>
        <w:t>3.97</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与上年持平。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bookmarkStart w:id="22" w:name="_Toc129961863_WPSOffice_Level2"/>
      <w:bookmarkStart w:id="23" w:name="_Toc586532053_WPSOffice_Level2"/>
      <w:r>
        <w:rPr>
          <w:rFonts w:hint="eastAsia" w:ascii="黑体" w:hAnsi="宋体" w:eastAsia="黑体" w:cs="黑体"/>
          <w:i w:val="0"/>
          <w:caps w:val="0"/>
          <w:color w:val="auto"/>
          <w:spacing w:val="0"/>
          <w:sz w:val="31"/>
          <w:szCs w:val="31"/>
          <w:highlight w:val="none"/>
          <w:shd w:val="clear" w:fill="FFFFFF"/>
        </w:rPr>
        <w:t>八、政府性基金预算情况说明</w:t>
      </w:r>
      <w:bookmarkEnd w:id="22"/>
      <w:bookmarkEnd w:id="23"/>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单位2025年</w:t>
      </w:r>
      <w:r>
        <w:rPr>
          <w:rFonts w:hint="eastAsia" w:ascii="仿宋_GB2312" w:eastAsia="仿宋_GB2312"/>
          <w:sz w:val="32"/>
          <w:szCs w:val="32"/>
          <w:highlight w:val="none"/>
          <w:lang w:eastAsia="zh-CN"/>
        </w:rPr>
        <w:t>无政府性基金预算收支。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黑体" w:eastAsia="黑体" w:cs="黑体"/>
          <w:i w:val="0"/>
          <w:caps w:val="0"/>
          <w:color w:val="auto"/>
          <w:spacing w:val="0"/>
          <w:sz w:val="31"/>
          <w:szCs w:val="31"/>
          <w:highlight w:val="none"/>
          <w:shd w:val="clear" w:fill="FFFFFF"/>
        </w:rPr>
      </w:pPr>
      <w:bookmarkStart w:id="24" w:name="_Toc1886340885_WPSOffice_Level2"/>
      <w:bookmarkStart w:id="25" w:name="_Toc765914432_WPSOffice_Level2"/>
      <w:r>
        <w:rPr>
          <w:rFonts w:hint="eastAsia" w:ascii="黑体" w:hAnsi="黑体" w:eastAsia="黑体" w:cs="黑体"/>
          <w:i w:val="0"/>
          <w:caps w:val="0"/>
          <w:color w:val="auto"/>
          <w:spacing w:val="0"/>
          <w:sz w:val="31"/>
          <w:szCs w:val="31"/>
          <w:highlight w:val="none"/>
          <w:shd w:val="clear" w:fill="FFFFFF"/>
        </w:rPr>
        <w:t>九、国有资本经营预算支出情况说明</w:t>
      </w:r>
      <w:bookmarkEnd w:id="24"/>
      <w:bookmarkEnd w:id="25"/>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年部门预算无国有资本经营预算。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bookmarkStart w:id="26" w:name="_Toc1873225878_WPSOffice_Level2"/>
      <w:bookmarkStart w:id="27" w:name="_Toc1981828364_WPSOffice_Level2"/>
      <w:r>
        <w:rPr>
          <w:rFonts w:hint="eastAsia" w:ascii="黑体" w:hAnsi="宋体" w:eastAsia="黑体" w:cs="黑体"/>
          <w:i w:val="0"/>
          <w:caps w:val="0"/>
          <w:color w:val="auto"/>
          <w:spacing w:val="0"/>
          <w:sz w:val="31"/>
          <w:szCs w:val="31"/>
          <w:highlight w:val="none"/>
          <w:shd w:val="clear" w:fill="FFFFFF"/>
          <w:lang w:eastAsia="zh-CN"/>
        </w:rPr>
        <w:t>十</w:t>
      </w:r>
      <w:r>
        <w:rPr>
          <w:rFonts w:hint="eastAsia" w:ascii="黑体" w:hAnsi="宋体" w:eastAsia="黑体" w:cs="黑体"/>
          <w:i w:val="0"/>
          <w:caps w:val="0"/>
          <w:color w:val="auto"/>
          <w:spacing w:val="0"/>
          <w:sz w:val="31"/>
          <w:szCs w:val="31"/>
          <w:highlight w:val="none"/>
          <w:shd w:val="clear" w:fill="FFFFFF"/>
        </w:rPr>
        <w:t>、其他重要事项情况说明</w:t>
      </w:r>
      <w:bookmarkEnd w:id="26"/>
      <w:bookmarkEnd w:id="27"/>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（一）机关运行经费安排情况说明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年机关运行经费预算</w:t>
      </w:r>
      <w:r>
        <w:rPr>
          <w:rFonts w:hint="eastAsia" w:ascii="仿宋_GB2312" w:eastAsia="仿宋_GB2312"/>
          <w:sz w:val="32"/>
          <w:szCs w:val="32"/>
          <w:highlight w:val="none"/>
          <w:lang w:val="en-US" w:eastAsia="zh-CN"/>
        </w:rPr>
        <w:t>49.26</w:t>
      </w:r>
      <w:r>
        <w:rPr>
          <w:rFonts w:hint="eastAsia" w:ascii="仿宋_GB2312" w:eastAsia="仿宋_GB2312"/>
          <w:sz w:val="32"/>
          <w:szCs w:val="32"/>
          <w:highlight w:val="none"/>
          <w:lang w:eastAsia="zh-CN"/>
        </w:rPr>
        <w:t>万元，同比202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年</w:t>
      </w:r>
      <w:r>
        <w:rPr>
          <w:rFonts w:hint="eastAsia" w:ascii="仿宋_GB2312" w:eastAsia="仿宋_GB2312"/>
          <w:sz w:val="32"/>
          <w:szCs w:val="32"/>
          <w:highlight w:val="none"/>
          <w:lang w:val="en-US" w:eastAsia="zh-CN"/>
        </w:rPr>
        <w:t>47.54</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增加1.72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增长3.62</w:t>
      </w:r>
      <w:r>
        <w:rPr>
          <w:rFonts w:hint="eastAsia" w:ascii="仿宋_GB2312" w:eastAsia="仿宋_GB2312"/>
          <w:sz w:val="32"/>
          <w:szCs w:val="32"/>
          <w:highlight w:val="none"/>
          <w:lang w:eastAsia="zh-CN"/>
        </w:rPr>
        <w:t>％。保障</w:t>
      </w:r>
      <w:r>
        <w:rPr>
          <w:rFonts w:hint="eastAsia" w:ascii="仿宋_GB2312" w:eastAsia="仿宋_GB2312"/>
          <w:sz w:val="32"/>
          <w:szCs w:val="32"/>
          <w:highlight w:val="none"/>
          <w:lang w:val="en-US" w:eastAsia="zh-CN"/>
        </w:rPr>
        <w:t>维都派出所</w:t>
      </w:r>
      <w:r>
        <w:rPr>
          <w:rFonts w:hint="eastAsia" w:ascii="仿宋_GB2312" w:eastAsia="仿宋_GB2312"/>
          <w:sz w:val="32"/>
          <w:szCs w:val="32"/>
          <w:highlight w:val="none"/>
          <w:lang w:eastAsia="zh-CN"/>
        </w:rPr>
        <w:t>日常运行，主要用于办公及印刷费、邮电费、差旅费、福利费、日常维修费、专用材料及一般设备购置费、办公用房水电费、</w:t>
      </w:r>
      <w:r>
        <w:rPr>
          <w:rFonts w:hint="eastAsia" w:ascii="仿宋_GB2312" w:eastAsia="仿宋_GB2312"/>
          <w:sz w:val="32"/>
          <w:szCs w:val="32"/>
          <w:highlight w:val="none"/>
          <w:lang w:val="en-US" w:eastAsia="zh-CN"/>
        </w:rPr>
        <w:t>以及在编在职人员的通讯、交通补贴费用。机关运行经费预算增长的主要原因是人员增加（新录用3人）及人员晋职晋级后相关的通讯、交通补贴增加。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highlight w:val="none"/>
        </w:rPr>
      </w:pPr>
      <w:r>
        <w:rPr>
          <w:rFonts w:hint="eastAsia" w:ascii="仿宋_GB2312" w:hAnsi="微软雅黑" w:eastAsia="仿宋_GB2312" w:cs="仿宋_GB2312"/>
          <w:i w:val="0"/>
          <w:caps w:val="0"/>
          <w:color w:val="auto"/>
          <w:spacing w:val="0"/>
          <w:sz w:val="31"/>
          <w:szCs w:val="31"/>
          <w:highlight w:val="none"/>
          <w:shd w:val="clear" w:fill="FFFFFF"/>
        </w:rPr>
        <w:t>（二）政府采购预算安排情况说明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年政府采购预算总金额</w:t>
      </w:r>
      <w:r>
        <w:rPr>
          <w:rFonts w:hint="eastAsia" w:ascii="仿宋_GB2312" w:eastAsia="仿宋_GB2312"/>
          <w:sz w:val="32"/>
          <w:szCs w:val="32"/>
          <w:highlight w:val="none"/>
          <w:lang w:val="en-US" w:eastAsia="zh-CN"/>
        </w:rPr>
        <w:t>16.7</w:t>
      </w:r>
      <w:r>
        <w:rPr>
          <w:rFonts w:hint="eastAsia" w:ascii="仿宋_GB2312" w:eastAsia="仿宋_GB2312"/>
          <w:sz w:val="32"/>
          <w:szCs w:val="32"/>
          <w:highlight w:val="none"/>
          <w:lang w:eastAsia="zh-CN"/>
        </w:rPr>
        <w:t>万元，其中货物类采购</w:t>
      </w:r>
      <w:r>
        <w:rPr>
          <w:rFonts w:hint="eastAsia" w:ascii="仿宋_GB2312" w:eastAsia="仿宋_GB2312"/>
          <w:sz w:val="32"/>
          <w:szCs w:val="32"/>
          <w:highlight w:val="none"/>
          <w:lang w:val="en-US" w:eastAsia="zh-CN"/>
        </w:rPr>
        <w:t>0万元，工程类采购0万元，服务类采购16.7万元。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2025年政府采购预算16.7万元，</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增加7.22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增长76.16</w:t>
      </w:r>
      <w:r>
        <w:rPr>
          <w:rFonts w:hint="eastAsia" w:ascii="仿宋_GB2312" w:eastAsia="仿宋_GB2312"/>
          <w:sz w:val="32"/>
          <w:szCs w:val="32"/>
          <w:highlight w:val="none"/>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2025年</w:t>
      </w:r>
      <w:r>
        <w:rPr>
          <w:rFonts w:hint="eastAsia" w:ascii="仿宋_GB2312" w:eastAsia="仿宋_GB2312"/>
          <w:sz w:val="32"/>
          <w:szCs w:val="32"/>
          <w:highlight w:val="none"/>
          <w:lang w:eastAsia="zh-CN"/>
        </w:rPr>
        <w:t>政府集中采购预算</w:t>
      </w:r>
      <w:r>
        <w:rPr>
          <w:rFonts w:hint="eastAsia" w:ascii="仿宋_GB2312" w:eastAsia="仿宋_GB2312"/>
          <w:sz w:val="32"/>
          <w:szCs w:val="32"/>
          <w:highlight w:val="none"/>
          <w:lang w:val="en-US" w:eastAsia="zh-CN"/>
        </w:rPr>
        <w:t>16.7</w:t>
      </w:r>
      <w:r>
        <w:rPr>
          <w:rFonts w:hint="eastAsia" w:ascii="仿宋_GB2312" w:eastAsia="仿宋_GB2312"/>
          <w:sz w:val="32"/>
          <w:szCs w:val="32"/>
          <w:highlight w:val="none"/>
          <w:lang w:eastAsia="zh-CN"/>
        </w:rPr>
        <w:t>万元，占政府采购预算</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增加7.22</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增长76.16</w:t>
      </w:r>
      <w:r>
        <w:rPr>
          <w:rFonts w:hint="eastAsia" w:ascii="仿宋_GB2312" w:eastAsia="仿宋_GB2312"/>
          <w:sz w:val="32"/>
          <w:szCs w:val="32"/>
          <w:highlight w:val="none"/>
          <w:lang w:eastAsia="zh-CN"/>
        </w:rPr>
        <w:t>％；分散采购预算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万元，占政府采购预算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％，同比减少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sz w:val="32"/>
          <w:szCs w:val="32"/>
          <w:highlight w:val="none"/>
          <w:lang w:eastAsia="zh-CN"/>
        </w:rPr>
        <w:t>主要原因为</w:t>
      </w:r>
      <w:r>
        <w:rPr>
          <w:rFonts w:hint="eastAsia" w:ascii="仿宋_GB2312" w:eastAsia="仿宋_GB2312"/>
          <w:sz w:val="32"/>
          <w:szCs w:val="32"/>
          <w:highlight w:val="none"/>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根据自治区财政政府采购有关规定，集中采购与分类采购限额均进行了调整，因此集中采购预算</w:t>
      </w:r>
      <w:r>
        <w:rPr>
          <w:rFonts w:hint="eastAsia" w:ascii="仿宋_GB2312" w:eastAsia="仿宋_GB2312"/>
          <w:color w:val="000000" w:themeColor="text1"/>
          <w:sz w:val="32"/>
          <w:szCs w:val="32"/>
          <w:highlight w:val="none"/>
          <w:lang w:val="en-US" w:eastAsia="zh-CN"/>
          <w14:textFill>
            <w14:solidFill>
              <w14:schemeClr w14:val="tx1"/>
            </w14:solidFill>
          </w14:textFill>
        </w:rPr>
        <w:t>增加</w:t>
      </w:r>
      <w:r>
        <w:rPr>
          <w:rFonts w:hint="eastAsia" w:ascii="仿宋_GB2312" w:eastAsia="仿宋_GB2312"/>
          <w:color w:val="000000" w:themeColor="text1"/>
          <w:sz w:val="32"/>
          <w:szCs w:val="32"/>
          <w:highlight w:val="none"/>
          <w:lang w:eastAsia="zh-CN"/>
          <w14:textFill>
            <w14:solidFill>
              <w14:schemeClr w14:val="tx1"/>
            </w14:solidFill>
          </w14:textFill>
        </w:rPr>
        <w:t>，分散采购预算减少。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货物采购</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万元，占政府采购预算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％，同比</w:t>
      </w:r>
      <w:r>
        <w:rPr>
          <w:rFonts w:hint="eastAsia" w:ascii="仿宋_GB2312" w:eastAsia="仿宋_GB2312"/>
          <w:sz w:val="32"/>
          <w:szCs w:val="32"/>
          <w:highlight w:val="none"/>
          <w:lang w:val="en-US" w:eastAsia="zh-CN"/>
        </w:rPr>
        <w:t>减少5.56</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下降100</w:t>
      </w:r>
      <w:r>
        <w:rPr>
          <w:rFonts w:hint="eastAsia" w:ascii="仿宋_GB2312" w:eastAsia="仿宋_GB2312"/>
          <w:sz w:val="32"/>
          <w:szCs w:val="32"/>
          <w:highlight w:val="none"/>
          <w:lang w:eastAsia="zh-CN"/>
        </w:rPr>
        <w:t>％。变化原因：</w:t>
      </w:r>
      <w:r>
        <w:rPr>
          <w:rFonts w:hint="eastAsia" w:ascii="仿宋_GB2312" w:eastAsia="仿宋_GB2312"/>
          <w:sz w:val="32"/>
          <w:szCs w:val="32"/>
          <w:highlight w:val="none"/>
          <w:lang w:val="en-US" w:eastAsia="zh-CN"/>
        </w:rPr>
        <w:t>2025年维都派出所结合实际需求编制货物采购预算，减少了非必需设备采购预算，所以货物采购预算减少。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工程采购</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万元，占政府采购预算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％，同比增加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无预算安排。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服务采购</w:t>
      </w:r>
      <w:r>
        <w:rPr>
          <w:rFonts w:hint="eastAsia" w:ascii="仿宋_GB2312" w:eastAsia="仿宋_GB2312"/>
          <w:sz w:val="32"/>
          <w:szCs w:val="32"/>
          <w:highlight w:val="none"/>
          <w:lang w:val="en-US" w:eastAsia="zh-CN"/>
        </w:rPr>
        <w:t>16.7</w:t>
      </w:r>
      <w:r>
        <w:rPr>
          <w:rFonts w:hint="eastAsia" w:ascii="仿宋_GB2312" w:eastAsia="仿宋_GB2312"/>
          <w:sz w:val="32"/>
          <w:szCs w:val="32"/>
          <w:highlight w:val="none"/>
          <w:lang w:eastAsia="zh-CN"/>
        </w:rPr>
        <w:t>万元，占政府采购预算</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同比增加12.78万元，增长326.02%，增长原因是增加物业管理服务采购。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sz w:val="31"/>
          <w:szCs w:val="31"/>
          <w:highlight w:val="none"/>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fill="FFFFFF"/>
          <w:lang w:val="en-US" w:eastAsia="zh-CN"/>
        </w:rPr>
        <w:t>政府采购预算中，授予中小企业的合同金额</w:t>
      </w:r>
      <w:r>
        <w:rPr>
          <w:rFonts w:hint="eastAsia" w:ascii="仿宋_GB2312" w:hAnsi="微软雅黑" w:eastAsia="仿宋_GB2312" w:cs="仿宋_GB2312"/>
          <w:b w:val="0"/>
          <w:bCs w:val="0"/>
          <w:i w:val="0"/>
          <w:caps w:val="0"/>
          <w:color w:val="auto"/>
          <w:spacing w:val="0"/>
          <w:sz w:val="32"/>
          <w:szCs w:val="32"/>
          <w:highlight w:val="none"/>
          <w:shd w:val="clear" w:fill="FFFFFF"/>
          <w:lang w:val="en-US" w:eastAsia="zh-CN"/>
        </w:rPr>
        <w:t>15.2</w:t>
      </w:r>
      <w:r>
        <w:rPr>
          <w:rFonts w:hint="default" w:ascii="仿宋_GB2312" w:hAnsi="微软雅黑" w:eastAsia="仿宋_GB2312" w:cs="仿宋_GB2312"/>
          <w:b w:val="0"/>
          <w:bCs w:val="0"/>
          <w:i w:val="0"/>
          <w:caps w:val="0"/>
          <w:color w:val="auto"/>
          <w:spacing w:val="0"/>
          <w:sz w:val="32"/>
          <w:szCs w:val="32"/>
          <w:highlight w:val="none"/>
          <w:shd w:val="clear" w:fill="FFFFFF"/>
          <w:lang w:val="en-US" w:eastAsia="zh-CN"/>
        </w:rPr>
        <w:t>万元，占政府采购支出总额</w:t>
      </w:r>
      <w:r>
        <w:rPr>
          <w:rFonts w:hint="eastAsia" w:ascii="仿宋_GB2312" w:hAnsi="微软雅黑" w:eastAsia="仿宋_GB2312" w:cs="仿宋_GB2312"/>
          <w:b w:val="0"/>
          <w:bCs w:val="0"/>
          <w:i w:val="0"/>
          <w:caps w:val="0"/>
          <w:color w:val="auto"/>
          <w:spacing w:val="0"/>
          <w:sz w:val="32"/>
          <w:szCs w:val="32"/>
          <w:highlight w:val="none"/>
          <w:shd w:val="clear" w:fill="FFFFFF"/>
          <w:lang w:val="en-US" w:eastAsia="zh-CN"/>
        </w:rPr>
        <w:t>91.02</w:t>
      </w:r>
      <w:r>
        <w:rPr>
          <w:rFonts w:hint="default" w:ascii="仿宋_GB2312" w:hAnsi="微软雅黑" w:eastAsia="仿宋_GB2312" w:cs="仿宋_GB2312"/>
          <w:b w:val="0"/>
          <w:bCs w:val="0"/>
          <w:i w:val="0"/>
          <w:caps w:val="0"/>
          <w:color w:val="auto"/>
          <w:spacing w:val="0"/>
          <w:sz w:val="32"/>
          <w:szCs w:val="32"/>
          <w:highlight w:val="none"/>
          <w:shd w:val="clear" w:fill="FFFFFF"/>
          <w:lang w:val="en-US" w:eastAsia="zh-CN"/>
        </w:rPr>
        <w:t>%。</w:t>
      </w:r>
      <w:r>
        <w:rPr>
          <w:rFonts w:hint="eastAsia" w:ascii="仿宋_GB2312" w:hAnsi="微软雅黑" w:eastAsia="仿宋_GB2312" w:cs="仿宋_GB2312"/>
          <w:i w:val="0"/>
          <w:caps w:val="0"/>
          <w:color w:val="auto"/>
          <w:spacing w:val="0"/>
          <w:sz w:val="31"/>
          <w:szCs w:val="31"/>
          <w:highlight w:val="none"/>
          <w:shd w:val="clear" w:fill="FFFFFF"/>
          <w:lang w:val="en-US" w:eastAsia="zh-CN"/>
        </w:rPr>
        <w:t>其他因确需使用不可替代的专利、专业技术，基础设施限制或提供特定公共服务，无法授予中小企业份额。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（三）国有资产占有情况说明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车辆情况：车辆编制数</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辆，一般执法执勤用车</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辆，实有车辆</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辆。单位价值50万元以上通用设备0 台（套）；单位价值100万元以上专用设备0 台（套）。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（四）重点项目预算绩效目标等情况说明</w:t>
      </w:r>
    </w:p>
    <w:p>
      <w:pPr>
        <w:tabs>
          <w:tab w:val="center" w:pos="4475"/>
        </w:tabs>
        <w:suppressAutoHyphens w:val="0"/>
        <w:autoSpaceDN w:val="0"/>
        <w:spacing w:line="560" w:lineRule="exact"/>
        <w:ind w:firstLine="960" w:firstLineChars="300"/>
        <w:rPr>
          <w:rFonts w:hint="eastAsia" w:ascii="仿宋_GB2312" w:hAnsi="宋体"/>
          <w:szCs w:val="32"/>
          <w:highlight w:val="none"/>
          <w:lang w:val="en-US" w:eastAsia="zh-CN"/>
        </w:rPr>
      </w:pPr>
      <w:bookmarkStart w:id="28" w:name="_Toc1416312698_WPSOffice_Level1"/>
      <w:bookmarkStart w:id="29" w:name="_Toc1765925063_WPSOffice_Level1"/>
      <w:r>
        <w:rPr>
          <w:rFonts w:hint="eastAsia" w:ascii="仿宋_GB2312" w:hAnsi="Times New Roman" w:eastAsia="仿宋_GB2312" w:cs="仿宋_GB2312"/>
          <w:b w:val="0"/>
          <w:bCs w:val="0"/>
          <w:caps w:val="0"/>
          <w:color w:val="auto"/>
          <w:kern w:val="2"/>
          <w:sz w:val="32"/>
          <w:szCs w:val="32"/>
          <w:vertAlign w:val="baseline"/>
          <w:lang w:val="en-US" w:eastAsia="zh-CN" w:bidi="ar"/>
        </w:rPr>
        <w:t>1、</w:t>
      </w:r>
      <w:r>
        <w:rPr>
          <w:rFonts w:hint="eastAsia" w:ascii="仿宋_GB2312" w:eastAsia="仿宋_GB2312" w:hAnsiTheme="minorHAnsi" w:cstheme="minorBidi"/>
          <w:kern w:val="0"/>
          <w:sz w:val="32"/>
          <w:szCs w:val="32"/>
          <w:highlight w:val="none"/>
          <w:lang w:val="en-US" w:eastAsia="zh-CN" w:bidi="ar"/>
        </w:rPr>
        <w:t>我单位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2025年所有项目支出全面实施绩效目标管理，涉及自治区本级项目</w:t>
      </w:r>
      <w:r>
        <w:rPr>
          <w:rFonts w:hint="eastAsia" w:ascii="仿宋_GB2312" w:cs="仿宋_GB2312"/>
          <w:b w:val="0"/>
          <w:bCs w:val="0"/>
          <w:caps w:val="0"/>
          <w:color w:val="auto"/>
          <w:kern w:val="2"/>
          <w:sz w:val="32"/>
          <w:szCs w:val="32"/>
          <w:vertAlign w:val="baseline"/>
          <w:lang w:val="en-US" w:eastAsia="zh-CN" w:bidi="ar"/>
        </w:rPr>
        <w:t>5</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个，预算资金49.25万元；对下转移支付项目</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万元。绩效目标情况详见报表（敏感涉密项目除外）。</w:t>
      </w:r>
    </w:p>
    <w:p>
      <w:pPr>
        <w:tabs>
          <w:tab w:val="center" w:pos="4475"/>
        </w:tabs>
        <w:spacing w:line="560" w:lineRule="exact"/>
        <w:ind w:firstLine="960" w:firstLineChars="300"/>
        <w:rPr>
          <w:rFonts w:hint="default" w:ascii="黑体" w:eastAsia="黑体"/>
          <w:szCs w:val="32"/>
          <w:lang w:val="en-US" w:eastAsia="zh-CN"/>
        </w:rPr>
      </w:pPr>
      <w:r>
        <w:rPr>
          <w:rFonts w:hint="eastAsia" w:ascii="仿宋_GB2312" w:eastAsia="仿宋_GB2312" w:cstheme="minorBidi"/>
          <w:kern w:val="0"/>
          <w:sz w:val="32"/>
          <w:szCs w:val="32"/>
          <w:highlight w:val="none"/>
          <w:lang w:val="en-US" w:eastAsia="zh-CN" w:bidi="ar"/>
        </w:rPr>
        <w:t>2、</w:t>
      </w:r>
      <w:r>
        <w:rPr>
          <w:rFonts w:hint="eastAsia" w:ascii="仿宋_GB2312" w:eastAsia="仿宋_GB2312" w:hAnsiTheme="minorHAnsi" w:cstheme="minorBidi"/>
          <w:kern w:val="0"/>
          <w:sz w:val="32"/>
          <w:szCs w:val="32"/>
          <w:highlight w:val="none"/>
          <w:lang w:val="en-US" w:eastAsia="zh-CN" w:bidi="ar"/>
        </w:rPr>
        <w:t>重点项目预算绩效目标说明。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853"/>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tabs>
                <w:tab w:val="center" w:pos="4475"/>
              </w:tabs>
              <w:spacing w:line="560" w:lineRule="exact"/>
              <w:jc w:val="center"/>
              <w:rPr>
                <w:rFonts w:hint="eastAsia" w:ascii="仿宋_GB2312" w:eastAsia="仿宋_GB2312" w:hAnsiTheme="minorHAnsi" w:cstheme="minorBidi"/>
                <w:kern w:val="0"/>
                <w:sz w:val="32"/>
                <w:szCs w:val="32"/>
                <w:highlight w:val="none"/>
                <w:lang w:val="en-US" w:eastAsia="zh-CN" w:bidi="ar"/>
              </w:rPr>
            </w:pPr>
            <w:r>
              <w:rPr>
                <w:rFonts w:hint="eastAsia" w:ascii="仿宋_GB2312" w:eastAsia="仿宋_GB2312" w:hAnsiTheme="minorHAnsi" w:cstheme="minorBidi"/>
                <w:kern w:val="0"/>
                <w:sz w:val="32"/>
                <w:szCs w:val="32"/>
                <w:highlight w:val="none"/>
                <w:lang w:val="en-US" w:eastAsia="zh-CN" w:bidi="ar"/>
              </w:rPr>
              <w:t>项目名称</w:t>
            </w:r>
          </w:p>
        </w:tc>
        <w:tc>
          <w:tcPr>
            <w:tcW w:w="1853" w:type="dxa"/>
            <w:noWrap w:val="0"/>
            <w:vAlign w:val="top"/>
          </w:tcPr>
          <w:p>
            <w:pPr>
              <w:tabs>
                <w:tab w:val="center" w:pos="4475"/>
              </w:tabs>
              <w:spacing w:line="560" w:lineRule="exact"/>
              <w:jc w:val="center"/>
              <w:rPr>
                <w:rFonts w:hint="eastAsia" w:ascii="仿宋_GB2312" w:eastAsia="仿宋_GB2312" w:hAnsiTheme="minorHAnsi" w:cstheme="minorBidi"/>
                <w:kern w:val="0"/>
                <w:sz w:val="32"/>
                <w:szCs w:val="32"/>
                <w:highlight w:val="none"/>
                <w:lang w:val="en-US" w:eastAsia="zh-CN" w:bidi="ar"/>
              </w:rPr>
            </w:pPr>
            <w:r>
              <w:rPr>
                <w:rFonts w:hint="eastAsia" w:ascii="仿宋_GB2312" w:eastAsia="仿宋_GB2312" w:hAnsiTheme="minorHAnsi" w:cstheme="minorBidi"/>
                <w:kern w:val="0"/>
                <w:sz w:val="32"/>
                <w:szCs w:val="32"/>
                <w:highlight w:val="none"/>
                <w:lang w:val="en-US" w:eastAsia="zh-CN" w:bidi="ar"/>
              </w:rPr>
              <w:t>预算数（单位：万元）</w:t>
            </w:r>
          </w:p>
        </w:tc>
        <w:tc>
          <w:tcPr>
            <w:tcW w:w="3829" w:type="dxa"/>
            <w:noWrap w:val="0"/>
            <w:vAlign w:val="top"/>
          </w:tcPr>
          <w:p>
            <w:pPr>
              <w:tabs>
                <w:tab w:val="center" w:pos="4475"/>
              </w:tabs>
              <w:spacing w:line="560" w:lineRule="exact"/>
              <w:jc w:val="center"/>
              <w:rPr>
                <w:rFonts w:hint="eastAsia" w:ascii="仿宋_GB2312" w:eastAsia="仿宋_GB2312" w:hAnsiTheme="minorHAnsi" w:cstheme="minorBidi"/>
                <w:kern w:val="0"/>
                <w:sz w:val="32"/>
                <w:szCs w:val="32"/>
                <w:highlight w:val="none"/>
                <w:lang w:val="en-US" w:eastAsia="zh-CN" w:bidi="ar"/>
              </w:rPr>
            </w:pPr>
            <w:r>
              <w:rPr>
                <w:rFonts w:hint="eastAsia" w:ascii="仿宋_GB2312" w:eastAsia="仿宋_GB2312" w:hAnsiTheme="minorHAnsi" w:cstheme="minorBidi"/>
                <w:kern w:val="0"/>
                <w:sz w:val="32"/>
                <w:szCs w:val="32"/>
                <w:highlight w:val="none"/>
                <w:lang w:val="en-US" w:eastAsia="zh-CN" w:bidi="ar"/>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tabs>
                <w:tab w:val="center" w:pos="4475"/>
              </w:tabs>
              <w:spacing w:line="560" w:lineRule="exact"/>
              <w:rPr>
                <w:rFonts w:hint="default" w:ascii="仿宋_GB2312" w:eastAsia="仿宋_GB2312" w:hAnsiTheme="minorHAnsi" w:cstheme="minorBidi"/>
                <w:kern w:val="0"/>
                <w:sz w:val="32"/>
                <w:szCs w:val="32"/>
                <w:highlight w:val="none"/>
                <w:lang w:val="en-US" w:eastAsia="zh-CN" w:bidi="ar"/>
              </w:rPr>
            </w:pPr>
            <w:r>
              <w:rPr>
                <w:rFonts w:hint="eastAsia" w:ascii="仿宋_GB2312" w:eastAsia="仿宋_GB2312" w:hAnsiTheme="minorHAnsi" w:cstheme="minorBidi"/>
                <w:kern w:val="0"/>
                <w:sz w:val="32"/>
                <w:szCs w:val="32"/>
                <w:highlight w:val="none"/>
                <w:lang w:val="en-US" w:eastAsia="zh-CN" w:bidi="ar"/>
              </w:rPr>
              <w:t>警犬驯养业务工作经费</w:t>
            </w:r>
          </w:p>
        </w:tc>
        <w:tc>
          <w:tcPr>
            <w:tcW w:w="1853" w:type="dxa"/>
            <w:noWrap w:val="0"/>
            <w:vAlign w:val="top"/>
          </w:tcPr>
          <w:p>
            <w:pPr>
              <w:tabs>
                <w:tab w:val="center" w:pos="4475"/>
              </w:tabs>
              <w:spacing w:line="560" w:lineRule="exact"/>
              <w:jc w:val="center"/>
              <w:rPr>
                <w:rFonts w:hint="default" w:ascii="仿宋_GB2312" w:eastAsia="仿宋_GB2312" w:hAnsiTheme="minorHAnsi" w:cstheme="minorBidi"/>
                <w:kern w:val="0"/>
                <w:sz w:val="32"/>
                <w:szCs w:val="32"/>
                <w:highlight w:val="none"/>
                <w:lang w:val="en-US" w:eastAsia="zh-CN" w:bidi="ar"/>
              </w:rPr>
            </w:pPr>
            <w:r>
              <w:rPr>
                <w:rFonts w:hint="eastAsia" w:ascii="仿宋_GB2312" w:eastAsia="仿宋_GB2312" w:hAnsiTheme="minorHAnsi" w:cstheme="minorBidi"/>
                <w:kern w:val="0"/>
                <w:sz w:val="32"/>
                <w:szCs w:val="32"/>
                <w:highlight w:val="none"/>
                <w:lang w:val="en-US" w:eastAsia="zh-CN" w:bidi="ar"/>
              </w:rPr>
              <w:t>8.16</w:t>
            </w:r>
          </w:p>
        </w:tc>
        <w:tc>
          <w:tcPr>
            <w:tcW w:w="3829" w:type="dxa"/>
            <w:noWrap w:val="0"/>
            <w:vAlign w:val="top"/>
          </w:tcPr>
          <w:p>
            <w:pPr>
              <w:tabs>
                <w:tab w:val="center" w:pos="4475"/>
              </w:tabs>
              <w:spacing w:line="560" w:lineRule="exact"/>
              <w:rPr>
                <w:rFonts w:hint="default" w:ascii="仿宋_GB2312" w:eastAsia="仿宋_GB2312" w:hAnsiTheme="minorHAnsi" w:cstheme="minorBidi"/>
                <w:kern w:val="0"/>
                <w:sz w:val="32"/>
                <w:szCs w:val="32"/>
                <w:highlight w:val="none"/>
                <w:lang w:val="en-US" w:eastAsia="zh-CN" w:bidi="ar"/>
              </w:rPr>
            </w:pPr>
            <w:r>
              <w:rPr>
                <w:rFonts w:hint="eastAsia" w:ascii="仿宋_GB2312" w:eastAsia="仿宋_GB2312" w:hAnsiTheme="minorHAnsi" w:cstheme="minorBidi"/>
                <w:kern w:val="0"/>
                <w:sz w:val="32"/>
                <w:szCs w:val="32"/>
                <w:highlight w:val="none"/>
                <w:lang w:val="en-US" w:eastAsia="zh-CN" w:bidi="ar"/>
              </w:rPr>
              <w:t>2025年度绩效目标为保障警犬正常训练使用和犬病防治等业务开展，做好林区治安防范工作，维护林区社会治安稳定。</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黑体" w:hAnsi="宋体" w:eastAsia="黑体" w:cs="黑体"/>
          <w:i w:val="0"/>
          <w:caps w:val="0"/>
          <w:color w:val="auto"/>
          <w:spacing w:val="0"/>
          <w:kern w:val="2"/>
          <w:sz w:val="31"/>
          <w:szCs w:val="31"/>
          <w:highlight w:val="none"/>
          <w:shd w:val="clear" w:fill="FFFFFF"/>
          <w:lang w:val="en-US" w:eastAsia="zh-CN" w:bidi="ar-SA"/>
        </w:rPr>
      </w:pPr>
      <w:r>
        <w:rPr>
          <w:rFonts w:hint="eastAsia" w:ascii="黑体" w:hAnsi="宋体" w:eastAsia="黑体" w:cs="黑体"/>
          <w:i w:val="0"/>
          <w:caps w:val="0"/>
          <w:color w:val="auto"/>
          <w:spacing w:val="0"/>
          <w:kern w:val="2"/>
          <w:sz w:val="31"/>
          <w:szCs w:val="31"/>
          <w:highlight w:val="none"/>
          <w:shd w:val="clear" w:fill="FFFFFF"/>
          <w:lang w:val="en-US" w:eastAsia="zh-CN" w:bidi="ar-SA"/>
        </w:rPr>
        <w:t>第三部分：名词解释</w:t>
      </w:r>
      <w:bookmarkEnd w:id="28"/>
      <w:bookmarkEnd w:id="29"/>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一、基本支出：指为保障机构正常运转、完成日常工作任务而发生的人员支出和定额公用支出。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二、项目支出：指在基本支出之外为完成特定行政任务和事业发展目标所发生的支出。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bookmarkStart w:id="32" w:name="_GoBack"/>
      <w:bookmarkEnd w:id="32"/>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宋体" w:eastAsia="黑体" w:cs="黑体"/>
          <w:i w:val="0"/>
          <w:caps w:val="0"/>
          <w:color w:val="auto"/>
          <w:spacing w:val="0"/>
          <w:sz w:val="31"/>
          <w:szCs w:val="31"/>
          <w:highlight w:val="none"/>
          <w:shd w:val="clear" w:fill="FFFFFF"/>
        </w:rPr>
      </w:pPr>
      <w:r>
        <w:rPr>
          <w:rFonts w:hint="eastAsia" w:ascii="仿宋_GB2312" w:eastAsia="仿宋_GB2312"/>
          <w:sz w:val="32"/>
          <w:szCs w:val="32"/>
          <w:highlight w:val="none"/>
          <w:lang w:eastAsia="zh-CN"/>
        </w:rPr>
        <w:t>四、特别业务：公安机关开展特别业务工作的相关支出。</w:t>
      </w:r>
    </w:p>
    <w:p>
      <w:pPr>
        <w:adjustRightInd w:val="0"/>
        <w:snapToGrid w:val="0"/>
        <w:spacing w:line="560" w:lineRule="exact"/>
        <w:ind w:right="-218" w:rightChars="-104" w:firstLine="620" w:firstLineChars="200"/>
        <w:rPr>
          <w:color w:val="auto"/>
          <w:highlight w:val="none"/>
        </w:rPr>
      </w:pPr>
      <w:bookmarkStart w:id="30" w:name="_Toc879242040_WPSOffice_Level1"/>
      <w:bookmarkStart w:id="31" w:name="_Toc1541087303_WPSOffice_Level1"/>
      <w:r>
        <w:rPr>
          <w:rFonts w:hint="eastAsia" w:ascii="黑体" w:hAnsi="宋体" w:eastAsia="黑体" w:cs="黑体"/>
          <w:i w:val="0"/>
          <w:caps w:val="0"/>
          <w:color w:val="auto"/>
          <w:spacing w:val="0"/>
          <w:sz w:val="31"/>
          <w:szCs w:val="31"/>
          <w:highlight w:val="none"/>
          <w:shd w:val="clear" w:fill="FFFFFF"/>
        </w:rPr>
        <w:t>第四部分：</w:t>
      </w:r>
      <w:r>
        <w:rPr>
          <w:rFonts w:hint="eastAsia" w:ascii="黑体" w:hAnsi="黑体" w:eastAsia="黑体" w:cs="黑体"/>
          <w:sz w:val="32"/>
          <w:szCs w:val="32"/>
          <w:highlight w:val="none"/>
          <w:shd w:val="clear" w:color="auto" w:fill="auto"/>
        </w:rPr>
        <w:t>广西壮族自治区公安厅森林公安直属二分局</w:t>
      </w:r>
      <w:r>
        <w:rPr>
          <w:rFonts w:hint="eastAsia" w:ascii="黑体" w:hAnsi="黑体" w:eastAsia="黑体" w:cs="黑体"/>
          <w:sz w:val="32"/>
          <w:szCs w:val="32"/>
          <w:highlight w:val="none"/>
          <w:shd w:val="clear" w:color="auto" w:fill="auto"/>
          <w:lang w:eastAsia="zh-CN"/>
        </w:rPr>
        <w:t>维都派出所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年单位预算情况说明</w:t>
      </w:r>
      <w:bookmarkEnd w:id="30"/>
      <w:bookmarkEnd w:id="31"/>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维都派出所</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年</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lang w:eastAsia="zh-CN"/>
        </w:rPr>
        <w:t>预算报表详见附件。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highlight w:val="none"/>
          <w:lang w:eastAsia="zh-CN"/>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DCBC6"/>
    <w:multiLevelType w:val="singleLevel"/>
    <w:tmpl w:val="1D7DCBC6"/>
    <w:lvl w:ilvl="0" w:tentative="0">
      <w:start w:val="6"/>
      <w:numFmt w:val="chineseCounting"/>
      <w:suff w:val="nothing"/>
      <w:lvlText w:val="%1、"/>
      <w:lvlJc w:val="left"/>
      <w:rPr>
        <w:rFonts w:hint="eastAsia"/>
      </w:rPr>
    </w:lvl>
  </w:abstractNum>
  <w:abstractNum w:abstractNumId="1">
    <w:nsid w:val="67402CE8"/>
    <w:multiLevelType w:val="singleLevel"/>
    <w:tmpl w:val="67402CE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ZDNlOWYxZThkYjAyODg5ZjI1ODRjN2NkYTc2ZjgifQ=="/>
  </w:docVars>
  <w:rsids>
    <w:rsidRoot w:val="00000000"/>
    <w:rsid w:val="000273CC"/>
    <w:rsid w:val="01F277D7"/>
    <w:rsid w:val="02497A21"/>
    <w:rsid w:val="02EF1E8A"/>
    <w:rsid w:val="03360579"/>
    <w:rsid w:val="04030DDE"/>
    <w:rsid w:val="04925BFE"/>
    <w:rsid w:val="0539563E"/>
    <w:rsid w:val="05D31A82"/>
    <w:rsid w:val="06475B39"/>
    <w:rsid w:val="07FC3B7A"/>
    <w:rsid w:val="082C148A"/>
    <w:rsid w:val="089D7C92"/>
    <w:rsid w:val="08E053DE"/>
    <w:rsid w:val="0AF66AD3"/>
    <w:rsid w:val="0B0F215F"/>
    <w:rsid w:val="0B3A453F"/>
    <w:rsid w:val="0B846E81"/>
    <w:rsid w:val="0BAB6B6A"/>
    <w:rsid w:val="0BBE4AEF"/>
    <w:rsid w:val="0BF403BA"/>
    <w:rsid w:val="0BF4406D"/>
    <w:rsid w:val="0C6D3E1F"/>
    <w:rsid w:val="0DCD1019"/>
    <w:rsid w:val="0E9D47CD"/>
    <w:rsid w:val="0EFE3455"/>
    <w:rsid w:val="0F9102E1"/>
    <w:rsid w:val="10125409"/>
    <w:rsid w:val="106401D5"/>
    <w:rsid w:val="10B256B4"/>
    <w:rsid w:val="10F328E3"/>
    <w:rsid w:val="11096101"/>
    <w:rsid w:val="11647BEE"/>
    <w:rsid w:val="12152F8F"/>
    <w:rsid w:val="1255782F"/>
    <w:rsid w:val="12B66520"/>
    <w:rsid w:val="12CA6D17"/>
    <w:rsid w:val="135B5889"/>
    <w:rsid w:val="155A7EC2"/>
    <w:rsid w:val="162A1F9F"/>
    <w:rsid w:val="16F67AC4"/>
    <w:rsid w:val="172C0C9F"/>
    <w:rsid w:val="17F6144E"/>
    <w:rsid w:val="18FE2CD2"/>
    <w:rsid w:val="19FA01CF"/>
    <w:rsid w:val="1A7A7E33"/>
    <w:rsid w:val="1B1D1A4C"/>
    <w:rsid w:val="1B455784"/>
    <w:rsid w:val="1B7D0F79"/>
    <w:rsid w:val="1C422F90"/>
    <w:rsid w:val="1C784839"/>
    <w:rsid w:val="1CA613B3"/>
    <w:rsid w:val="1D547061"/>
    <w:rsid w:val="1D6D41A5"/>
    <w:rsid w:val="1D8F0099"/>
    <w:rsid w:val="1D970CFC"/>
    <w:rsid w:val="1E854FF8"/>
    <w:rsid w:val="1EBA7D66"/>
    <w:rsid w:val="1F1F369F"/>
    <w:rsid w:val="1F404243"/>
    <w:rsid w:val="1F9F20EA"/>
    <w:rsid w:val="20604F1F"/>
    <w:rsid w:val="20B61DE1"/>
    <w:rsid w:val="20F01722"/>
    <w:rsid w:val="21074075"/>
    <w:rsid w:val="212F3028"/>
    <w:rsid w:val="216929AF"/>
    <w:rsid w:val="219914E7"/>
    <w:rsid w:val="21DC7625"/>
    <w:rsid w:val="21F106B6"/>
    <w:rsid w:val="22A836ED"/>
    <w:rsid w:val="22CF35EB"/>
    <w:rsid w:val="22D14CB0"/>
    <w:rsid w:val="235B4493"/>
    <w:rsid w:val="23DF164F"/>
    <w:rsid w:val="23F64238"/>
    <w:rsid w:val="24AB7428"/>
    <w:rsid w:val="24B86492"/>
    <w:rsid w:val="260E3C17"/>
    <w:rsid w:val="26B11081"/>
    <w:rsid w:val="27983FEE"/>
    <w:rsid w:val="27BB5EA2"/>
    <w:rsid w:val="2A2A5681"/>
    <w:rsid w:val="2A5A54F9"/>
    <w:rsid w:val="2B3D7387"/>
    <w:rsid w:val="2B626B02"/>
    <w:rsid w:val="2BD76956"/>
    <w:rsid w:val="2C8E1176"/>
    <w:rsid w:val="2D200D0E"/>
    <w:rsid w:val="2D6B5D1B"/>
    <w:rsid w:val="2D6D7CCB"/>
    <w:rsid w:val="2D8970C7"/>
    <w:rsid w:val="2ED2428A"/>
    <w:rsid w:val="2FD7B3BF"/>
    <w:rsid w:val="302650CE"/>
    <w:rsid w:val="306F0F02"/>
    <w:rsid w:val="314174A5"/>
    <w:rsid w:val="31750EFD"/>
    <w:rsid w:val="32BC4280"/>
    <w:rsid w:val="32E453B0"/>
    <w:rsid w:val="33995376"/>
    <w:rsid w:val="33A14F0A"/>
    <w:rsid w:val="33BC2967"/>
    <w:rsid w:val="3425283D"/>
    <w:rsid w:val="357D798D"/>
    <w:rsid w:val="35BC359E"/>
    <w:rsid w:val="36F2777E"/>
    <w:rsid w:val="376C5E41"/>
    <w:rsid w:val="377F0D27"/>
    <w:rsid w:val="37841E99"/>
    <w:rsid w:val="37A379A0"/>
    <w:rsid w:val="38C215B8"/>
    <w:rsid w:val="39AD3929"/>
    <w:rsid w:val="3A2F2590"/>
    <w:rsid w:val="3A6F6E31"/>
    <w:rsid w:val="3AB756DD"/>
    <w:rsid w:val="3C1C79A0"/>
    <w:rsid w:val="3C241E9D"/>
    <w:rsid w:val="3C3164D6"/>
    <w:rsid w:val="3C7D631E"/>
    <w:rsid w:val="3DABD88B"/>
    <w:rsid w:val="3DDE3F81"/>
    <w:rsid w:val="3DE11C23"/>
    <w:rsid w:val="3DE6565C"/>
    <w:rsid w:val="3E280516"/>
    <w:rsid w:val="3F5605BF"/>
    <w:rsid w:val="3FEB6F5A"/>
    <w:rsid w:val="3FED1763"/>
    <w:rsid w:val="4084115C"/>
    <w:rsid w:val="40AD06B3"/>
    <w:rsid w:val="426B4382"/>
    <w:rsid w:val="426F4001"/>
    <w:rsid w:val="431F21E7"/>
    <w:rsid w:val="43A06915"/>
    <w:rsid w:val="43C81360"/>
    <w:rsid w:val="43E22933"/>
    <w:rsid w:val="442A5B77"/>
    <w:rsid w:val="443B55ED"/>
    <w:rsid w:val="44586B88"/>
    <w:rsid w:val="45294080"/>
    <w:rsid w:val="46042C02"/>
    <w:rsid w:val="46B856BC"/>
    <w:rsid w:val="478039A1"/>
    <w:rsid w:val="47A719F9"/>
    <w:rsid w:val="480F3A01"/>
    <w:rsid w:val="48B16866"/>
    <w:rsid w:val="49804BB7"/>
    <w:rsid w:val="49843F7B"/>
    <w:rsid w:val="4A2D4613"/>
    <w:rsid w:val="4A422B7C"/>
    <w:rsid w:val="4A613DDB"/>
    <w:rsid w:val="4B3F45FD"/>
    <w:rsid w:val="4B4E2A92"/>
    <w:rsid w:val="4B701B4C"/>
    <w:rsid w:val="4BB20661"/>
    <w:rsid w:val="4C6A56AA"/>
    <w:rsid w:val="4CA55973"/>
    <w:rsid w:val="4D930C30"/>
    <w:rsid w:val="4DBB6B59"/>
    <w:rsid w:val="4E0D66D4"/>
    <w:rsid w:val="4E6C24DD"/>
    <w:rsid w:val="4F131B12"/>
    <w:rsid w:val="4F2E0C11"/>
    <w:rsid w:val="4F5368C9"/>
    <w:rsid w:val="51245D02"/>
    <w:rsid w:val="514273A9"/>
    <w:rsid w:val="515A00FA"/>
    <w:rsid w:val="522B768A"/>
    <w:rsid w:val="52D72807"/>
    <w:rsid w:val="549534E0"/>
    <w:rsid w:val="54A621BA"/>
    <w:rsid w:val="55386A4C"/>
    <w:rsid w:val="56BF12A3"/>
    <w:rsid w:val="576507DE"/>
    <w:rsid w:val="579655A5"/>
    <w:rsid w:val="583F79EB"/>
    <w:rsid w:val="58B24571"/>
    <w:rsid w:val="5A805246"/>
    <w:rsid w:val="5A9C3173"/>
    <w:rsid w:val="5ACF4349"/>
    <w:rsid w:val="5B0F33CF"/>
    <w:rsid w:val="5B9718EC"/>
    <w:rsid w:val="5BC00492"/>
    <w:rsid w:val="5D3B5AC8"/>
    <w:rsid w:val="5D641CA2"/>
    <w:rsid w:val="5D856A7C"/>
    <w:rsid w:val="5E60690D"/>
    <w:rsid w:val="5E781EA8"/>
    <w:rsid w:val="5F5925D8"/>
    <w:rsid w:val="61642270"/>
    <w:rsid w:val="61882403"/>
    <w:rsid w:val="61CB7FBE"/>
    <w:rsid w:val="61D82B1D"/>
    <w:rsid w:val="645D7BDE"/>
    <w:rsid w:val="645E27F7"/>
    <w:rsid w:val="64F32289"/>
    <w:rsid w:val="653D52B2"/>
    <w:rsid w:val="66506FB5"/>
    <w:rsid w:val="665127F8"/>
    <w:rsid w:val="6677561B"/>
    <w:rsid w:val="6746290D"/>
    <w:rsid w:val="677B70EE"/>
    <w:rsid w:val="679B16C9"/>
    <w:rsid w:val="67F65BEC"/>
    <w:rsid w:val="682407B2"/>
    <w:rsid w:val="68251DEA"/>
    <w:rsid w:val="68455E34"/>
    <w:rsid w:val="6889265B"/>
    <w:rsid w:val="68CA214A"/>
    <w:rsid w:val="69690D6B"/>
    <w:rsid w:val="699B2EEF"/>
    <w:rsid w:val="6AAE2E9D"/>
    <w:rsid w:val="6B1B6095"/>
    <w:rsid w:val="6B321631"/>
    <w:rsid w:val="6B550C3F"/>
    <w:rsid w:val="6BC721A7"/>
    <w:rsid w:val="6BFFD561"/>
    <w:rsid w:val="6C471D37"/>
    <w:rsid w:val="6CC75D47"/>
    <w:rsid w:val="6CF65F8C"/>
    <w:rsid w:val="6D01750D"/>
    <w:rsid w:val="6DA841E5"/>
    <w:rsid w:val="6DBF3C37"/>
    <w:rsid w:val="6DE74955"/>
    <w:rsid w:val="6EC0112C"/>
    <w:rsid w:val="706A1C7F"/>
    <w:rsid w:val="70E468B9"/>
    <w:rsid w:val="71322A2E"/>
    <w:rsid w:val="714A0BB8"/>
    <w:rsid w:val="71A67474"/>
    <w:rsid w:val="71EC1E68"/>
    <w:rsid w:val="72045C31"/>
    <w:rsid w:val="72F26F91"/>
    <w:rsid w:val="733909C1"/>
    <w:rsid w:val="735836C4"/>
    <w:rsid w:val="739B5C11"/>
    <w:rsid w:val="73B70C00"/>
    <w:rsid w:val="74982505"/>
    <w:rsid w:val="7499002B"/>
    <w:rsid w:val="753A180E"/>
    <w:rsid w:val="75F93477"/>
    <w:rsid w:val="77635979"/>
    <w:rsid w:val="77C40629"/>
    <w:rsid w:val="784A179E"/>
    <w:rsid w:val="78FA4DEF"/>
    <w:rsid w:val="79053876"/>
    <w:rsid w:val="79061D3B"/>
    <w:rsid w:val="79D34399"/>
    <w:rsid w:val="79DA188D"/>
    <w:rsid w:val="7A066163"/>
    <w:rsid w:val="7A804167"/>
    <w:rsid w:val="7ACA3634"/>
    <w:rsid w:val="7CF14EA8"/>
    <w:rsid w:val="7CFC16DC"/>
    <w:rsid w:val="7CFDE344"/>
    <w:rsid w:val="7D0D040E"/>
    <w:rsid w:val="7E484F9C"/>
    <w:rsid w:val="7E61109A"/>
    <w:rsid w:val="7E663674"/>
    <w:rsid w:val="7E941FF5"/>
    <w:rsid w:val="7F2172E0"/>
    <w:rsid w:val="7F5904D1"/>
    <w:rsid w:val="7FFBD776"/>
    <w:rsid w:val="7FFFECB3"/>
    <w:rsid w:val="9FB775BE"/>
    <w:rsid w:val="AEFDD3A3"/>
    <w:rsid w:val="BD7FD5FE"/>
    <w:rsid w:val="CB7F3A8C"/>
    <w:rsid w:val="D3DA860A"/>
    <w:rsid w:val="DDF7C803"/>
    <w:rsid w:val="DFBDF372"/>
    <w:rsid w:val="F2EF94C6"/>
    <w:rsid w:val="FA9CAC76"/>
    <w:rsid w:val="FEFDB1B5"/>
    <w:rsid w:val="FEFFB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3933</Words>
  <Characters>4372</Characters>
  <Lines>0</Lines>
  <Paragraphs>0</Paragraphs>
  <TotalTime>2</TotalTime>
  <ScaleCrop>false</ScaleCrop>
  <LinksUpToDate>false</LinksUpToDate>
  <CharactersWithSpaces>4398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2024-02-02T16:43:00Z</dcterms:created>
  <dc:creator>lenovo</dc:creator>
  <cp:lastModifiedBy>huawei</cp:lastModifiedBy>
  <dcterms:modified xsi:type="dcterms:W3CDTF">2025-01-26T09:13:07Z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91D16950499948FE9044F21D70E7AF48_12</vt:lpwstr>
  </property>
  <property fmtid="{D5CDD505-2E9C-101B-9397-08002B2CF9AE}" pid="4" name="KSOTemplateDocerSaveRecord">
    <vt:lpwstr>eyJoZGlkIjoiOTRlMzA2Y2E2ZDk0MzFlOTZmYjQ4ODdkMzBmMDEzNGUiLCJ1c2VySWQiOiIxMTM5MTcyOTk3In0=</vt:lpwstr>
  </property>
</Properties>
</file>