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spacing w:beforeAutospacing="0" w:afterAutospacing="0" w:line="240" w:lineRule="auto"/>
        <w:ind w:firstLine="475" w:firstLineChars="113"/>
        <w:jc w:val="both"/>
        <w:textAlignment w:val="auto"/>
        <w:rPr>
          <w:rFonts w:ascii="微软雅黑" w:hAnsi="微软雅黑" w:eastAsia="微软雅黑" w:cs="微软雅黑"/>
          <w:sz w:val="42"/>
          <w:szCs w:val="42"/>
          <w:shd w:val="clear" w:color="auto" w:fill="FFFFFF"/>
        </w:rPr>
      </w:pPr>
    </w:p>
    <w:p>
      <w:pPr>
        <w:pStyle w:val="2"/>
        <w:keepNext w:val="0"/>
        <w:keepLines w:val="0"/>
        <w:pageBreakBefore w:val="0"/>
        <w:widowControl/>
        <w:shd w:val="clear" w:color="auto" w:fill="FFFFFF"/>
        <w:kinsoku/>
        <w:wordWrap/>
        <w:overflowPunct/>
        <w:topLinePunct w:val="0"/>
        <w:autoSpaceDE/>
        <w:autoSpaceDN/>
        <w:bidi w:val="0"/>
        <w:spacing w:beforeAutospacing="0" w:afterAutospacing="0" w:line="240" w:lineRule="auto"/>
        <w:ind w:firstLine="475" w:firstLineChars="113"/>
        <w:jc w:val="both"/>
        <w:textAlignment w:val="auto"/>
        <w:rPr>
          <w:rFonts w:hint="default" w:ascii="微软雅黑" w:hAnsi="微软雅黑" w:eastAsia="微软雅黑" w:cs="微软雅黑"/>
          <w:sz w:val="42"/>
          <w:szCs w:val="42"/>
          <w:shd w:val="clear" w:color="auto" w:fill="FFFFFF"/>
        </w:rPr>
      </w:pPr>
    </w:p>
    <w:p>
      <w:pPr>
        <w:pStyle w:val="2"/>
        <w:keepNext w:val="0"/>
        <w:keepLines w:val="0"/>
        <w:pageBreakBefore w:val="0"/>
        <w:widowControl/>
        <w:shd w:val="clear" w:color="auto" w:fill="FFFFFF"/>
        <w:kinsoku/>
        <w:wordWrap/>
        <w:overflowPunct/>
        <w:topLinePunct w:val="0"/>
        <w:autoSpaceDE/>
        <w:autoSpaceDN/>
        <w:bidi w:val="0"/>
        <w:spacing w:beforeAutospacing="0" w:afterAutospacing="0" w:line="240" w:lineRule="auto"/>
        <w:ind w:firstLine="475" w:firstLineChars="113"/>
        <w:jc w:val="both"/>
        <w:textAlignment w:val="auto"/>
        <w:rPr>
          <w:rFonts w:hint="default" w:ascii="微软雅黑" w:hAnsi="微软雅黑" w:eastAsia="微软雅黑" w:cs="微软雅黑"/>
          <w:sz w:val="42"/>
          <w:szCs w:val="42"/>
          <w:shd w:val="clear" w:color="auto" w:fill="FFFFFF"/>
        </w:rPr>
      </w:pPr>
    </w:p>
    <w:p>
      <w:pPr>
        <w:pStyle w:val="2"/>
        <w:keepNext w:val="0"/>
        <w:keepLines w:val="0"/>
        <w:pageBreakBefore w:val="0"/>
        <w:widowControl/>
        <w:shd w:val="clear" w:color="auto" w:fill="FFFFFF"/>
        <w:kinsoku/>
        <w:wordWrap/>
        <w:overflowPunct/>
        <w:topLinePunct w:val="0"/>
        <w:autoSpaceDE/>
        <w:bidi w:val="0"/>
        <w:spacing w:beforeAutospacing="0" w:afterAutospacing="0" w:line="240" w:lineRule="auto"/>
        <w:jc w:val="both"/>
        <w:textAlignment w:val="auto"/>
        <w:rPr>
          <w:rFonts w:hint="default" w:ascii="微软雅黑" w:hAnsi="微软雅黑" w:eastAsia="微软雅黑" w:cs="微软雅黑"/>
          <w:sz w:val="42"/>
          <w:szCs w:val="42"/>
          <w:shd w:val="clear" w:color="auto" w:fill="FFFFFF"/>
        </w:rPr>
      </w:pPr>
    </w:p>
    <w:p>
      <w:pPr>
        <w:pStyle w:val="2"/>
        <w:keepNext w:val="0"/>
        <w:keepLines w:val="0"/>
        <w:pageBreakBefore w:val="0"/>
        <w:widowControl/>
        <w:shd w:val="clear" w:color="auto" w:fill="FFFFFF"/>
        <w:kinsoku/>
        <w:wordWrap/>
        <w:overflowPunct/>
        <w:topLinePunct w:val="0"/>
        <w:autoSpaceDE/>
        <w:bidi w:val="0"/>
        <w:spacing w:beforeAutospacing="0" w:afterAutospacing="0" w:line="240" w:lineRule="auto"/>
        <w:jc w:val="both"/>
        <w:textAlignment w:val="auto"/>
        <w:rPr>
          <w:rFonts w:hint="default" w:ascii="微软雅黑" w:hAnsi="微软雅黑" w:eastAsia="微软雅黑" w:cs="微软雅黑"/>
          <w:sz w:val="42"/>
          <w:szCs w:val="42"/>
          <w:shd w:val="clear" w:color="auto" w:fill="FFFFFF"/>
        </w:rPr>
      </w:pPr>
    </w:p>
    <w:p>
      <w:pPr>
        <w:keepNext w:val="0"/>
        <w:keepLines w:val="0"/>
        <w:pageBreakBefore w:val="0"/>
        <w:kinsoku/>
        <w:wordWrap/>
        <w:overflowPunct/>
        <w:topLinePunct w:val="0"/>
        <w:autoSpaceDE/>
        <w:bidi w:val="0"/>
        <w:adjustRightInd w:val="0"/>
        <w:snapToGrid w:val="0"/>
        <w:spacing w:line="240" w:lineRule="auto"/>
        <w:jc w:val="center"/>
        <w:textAlignment w:val="auto"/>
        <w:rPr>
          <w:rFonts w:ascii="方正小标宋简体" w:hAnsi="方正小标宋简体" w:eastAsia="方正小标宋简体" w:cs="方正小标宋简体"/>
          <w:b/>
          <w:sz w:val="52"/>
          <w:szCs w:val="52"/>
          <w:shd w:val="clear" w:color="auto" w:fill="FFFFFF"/>
        </w:rPr>
      </w:pPr>
    </w:p>
    <w:p>
      <w:pPr>
        <w:keepNext w:val="0"/>
        <w:keepLines w:val="0"/>
        <w:pageBreakBefore w:val="0"/>
        <w:kinsoku/>
        <w:wordWrap/>
        <w:overflowPunct/>
        <w:topLinePunct w:val="0"/>
        <w:autoSpaceDE/>
        <w:bidi w:val="0"/>
        <w:adjustRightInd w:val="0"/>
        <w:snapToGrid w:val="0"/>
        <w:spacing w:line="240" w:lineRule="auto"/>
        <w:jc w:val="center"/>
        <w:textAlignment w:val="auto"/>
        <w:rPr>
          <w:rFonts w:ascii="方正小标宋简体" w:hAnsi="方正小标宋简体" w:eastAsia="方正小标宋简体" w:cs="方正小标宋简体"/>
          <w:b/>
          <w:sz w:val="52"/>
          <w:szCs w:val="52"/>
          <w:shd w:val="clear" w:color="auto" w:fill="FFFFFF"/>
        </w:rPr>
      </w:pPr>
      <w:r>
        <w:rPr>
          <w:rFonts w:hint="eastAsia" w:ascii="方正小标宋简体" w:hAnsi="方正小标宋简体" w:eastAsia="方正小标宋简体" w:cs="方正小标宋简体"/>
          <w:b/>
          <w:sz w:val="52"/>
          <w:szCs w:val="52"/>
          <w:shd w:val="clear" w:color="auto" w:fill="FFFFFF"/>
        </w:rPr>
        <w:t>广西壮族自治区公安厅森林公安</w:t>
      </w:r>
    </w:p>
    <w:p>
      <w:pPr>
        <w:keepNext w:val="0"/>
        <w:keepLines w:val="0"/>
        <w:pageBreakBefore w:val="0"/>
        <w:kinsoku/>
        <w:wordWrap/>
        <w:overflowPunct/>
        <w:topLinePunct w:val="0"/>
        <w:autoSpaceDE/>
        <w:bidi w:val="0"/>
        <w:adjustRightInd w:val="0"/>
        <w:snapToGrid w:val="0"/>
        <w:spacing w:line="240" w:lineRule="auto"/>
        <w:jc w:val="center"/>
        <w:textAlignment w:val="auto"/>
        <w:rPr>
          <w:rFonts w:ascii="方正小标宋简体" w:hAnsi="方正小标宋简体" w:eastAsia="方正小标宋简体" w:cs="方正小标宋简体"/>
          <w:b/>
          <w:sz w:val="52"/>
          <w:szCs w:val="52"/>
          <w:shd w:val="clear" w:color="auto" w:fill="FFFFFF"/>
        </w:rPr>
      </w:pPr>
      <w:r>
        <w:rPr>
          <w:rFonts w:hint="eastAsia" w:ascii="方正小标宋简体" w:hAnsi="方正小标宋简体" w:eastAsia="方正小标宋简体" w:cs="方正小标宋简体"/>
          <w:b/>
          <w:sz w:val="52"/>
          <w:szCs w:val="52"/>
          <w:shd w:val="clear" w:color="auto" w:fill="FFFFFF"/>
        </w:rPr>
        <w:t>直属一分局</w:t>
      </w:r>
      <w:r>
        <w:rPr>
          <w:rFonts w:hint="eastAsia" w:ascii="方正小标宋简体" w:hAnsi="方正小标宋简体" w:eastAsia="方正小标宋简体" w:cs="方正小标宋简体"/>
          <w:b/>
          <w:sz w:val="52"/>
          <w:szCs w:val="52"/>
          <w:shd w:val="clear" w:color="auto" w:fill="FFFFFF"/>
          <w:lang w:eastAsia="zh-CN"/>
        </w:rPr>
        <w:t>高峰</w:t>
      </w:r>
      <w:r>
        <w:rPr>
          <w:rFonts w:hint="eastAsia" w:ascii="方正小标宋简体" w:hAnsi="方正小标宋简体" w:eastAsia="方正小标宋简体" w:cs="方正小标宋简体"/>
          <w:b/>
          <w:sz w:val="52"/>
          <w:szCs w:val="52"/>
          <w:shd w:val="clear" w:color="auto" w:fill="FFFFFF"/>
        </w:rPr>
        <w:t>派出所</w:t>
      </w:r>
    </w:p>
    <w:p>
      <w:pPr>
        <w:pStyle w:val="2"/>
        <w:keepNext w:val="0"/>
        <w:keepLines w:val="0"/>
        <w:pageBreakBefore w:val="0"/>
        <w:widowControl/>
        <w:shd w:val="clear" w:color="auto" w:fill="FFFFFF"/>
        <w:kinsoku/>
        <w:wordWrap/>
        <w:overflowPunct/>
        <w:topLinePunct w:val="0"/>
        <w:autoSpaceDE/>
        <w:bidi w:val="0"/>
        <w:spacing w:beforeAutospacing="0" w:afterAutospacing="0" w:line="240" w:lineRule="auto"/>
        <w:jc w:val="center"/>
        <w:textAlignment w:val="auto"/>
        <w:rPr>
          <w:rFonts w:hint="default"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shd w:val="clear" w:color="auto" w:fill="FFFFFF"/>
        </w:rPr>
        <w:t>202</w:t>
      </w:r>
      <w:r>
        <w:rPr>
          <w:rFonts w:hint="eastAsia" w:ascii="方正小标宋简体" w:hAnsi="方正小标宋简体" w:eastAsia="方正小标宋简体" w:cs="方正小标宋简体"/>
          <w:sz w:val="52"/>
          <w:szCs w:val="52"/>
          <w:shd w:val="clear" w:color="auto" w:fill="FFFFFF"/>
          <w:lang w:val="en-US" w:eastAsia="zh-CN"/>
        </w:rPr>
        <w:t>5</w:t>
      </w:r>
      <w:r>
        <w:rPr>
          <w:rFonts w:ascii="方正小标宋简体" w:hAnsi="方正小标宋简体" w:eastAsia="方正小标宋简体" w:cs="方正小标宋简体"/>
          <w:sz w:val="52"/>
          <w:szCs w:val="52"/>
          <w:shd w:val="clear" w:color="auto" w:fill="FFFFFF"/>
        </w:rPr>
        <w:t>年单位预算公开</w:t>
      </w: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52"/>
          <w:szCs w:val="52"/>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52"/>
          <w:szCs w:val="52"/>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both"/>
        <w:textAlignment w:val="auto"/>
        <w:rPr>
          <w:rStyle w:val="6"/>
          <w:rFonts w:ascii="黑体" w:hAnsi="宋体" w:eastAsia="黑体" w:cs="黑体"/>
          <w:sz w:val="31"/>
          <w:szCs w:val="31"/>
          <w:shd w:val="clear" w:color="auto" w:fill="FFFFFF"/>
        </w:rPr>
      </w:pPr>
    </w:p>
    <w:p>
      <w:pPr>
        <w:pStyle w:val="4"/>
        <w:keepNext w:val="0"/>
        <w:keepLines w:val="0"/>
        <w:pageBreakBefore w:val="0"/>
        <w:widowControl/>
        <w:kinsoku/>
        <w:wordWrap/>
        <w:overflowPunct/>
        <w:topLinePunct w:val="0"/>
        <w:autoSpaceDE/>
        <w:bidi w:val="0"/>
        <w:spacing w:beforeAutospacing="0" w:afterAutospacing="0" w:line="240" w:lineRule="auto"/>
        <w:jc w:val="center"/>
        <w:textAlignment w:val="auto"/>
      </w:pPr>
      <w:r>
        <w:rPr>
          <w:rStyle w:val="6"/>
          <w:rFonts w:ascii="黑体" w:hAnsi="宋体" w:eastAsia="黑体" w:cs="黑体"/>
          <w:sz w:val="31"/>
          <w:szCs w:val="31"/>
          <w:shd w:val="clear" w:color="auto" w:fill="FFFFFF"/>
        </w:rPr>
        <w:t>目    录</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rStyle w:val="6"/>
          <w:rFonts w:ascii="仿宋_GB2312" w:hAnsi="微软雅黑" w:eastAsia="仿宋_GB2312" w:cs="仿宋_GB2312"/>
          <w:sz w:val="32"/>
          <w:szCs w:val="32"/>
          <w:shd w:val="clear" w:color="auto" w:fill="FFFFFF"/>
        </w:rPr>
      </w:pPr>
      <w:r>
        <w:rPr>
          <w:rStyle w:val="6"/>
          <w:rFonts w:ascii="仿宋_GB2312" w:hAnsi="微软雅黑" w:eastAsia="仿宋_GB2312" w:cs="仿宋_GB2312"/>
          <w:sz w:val="32"/>
          <w:szCs w:val="32"/>
          <w:shd w:val="clear" w:color="auto" w:fill="FFFFFF"/>
        </w:rPr>
        <w:t> </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sz w:val="32"/>
          <w:szCs w:val="32"/>
        </w:rPr>
      </w:pPr>
      <w:r>
        <w:rPr>
          <w:rStyle w:val="6"/>
          <w:rFonts w:hint="eastAsia" w:ascii="黑体" w:hAnsi="宋体" w:eastAsia="黑体" w:cs="黑体"/>
          <w:sz w:val="32"/>
          <w:szCs w:val="32"/>
          <w:shd w:val="clear" w:color="auto" w:fill="FFFFFF"/>
        </w:rPr>
        <w:t>第一部分：单位概况</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3" w:firstLineChars="113"/>
        <w:jc w:val="both"/>
        <w:textAlignment w:val="auto"/>
        <w:rPr>
          <w:rFonts w:hint="eastAsia" w:ascii="仿宋_GB2312" w:hAnsi="Times New Roman" w:eastAsia="仿宋_GB2312" w:cs="Times New Roman"/>
          <w:b/>
          <w:bCs/>
          <w:kern w:val="2"/>
          <w:sz w:val="32"/>
          <w:szCs w:val="32"/>
          <w:highlight w:val="none"/>
          <w:lang w:val="en-US" w:eastAsia="zh-CN" w:bidi="ar-SA"/>
        </w:rPr>
      </w:pPr>
      <w:r>
        <w:rPr>
          <w:rFonts w:hint="eastAsia" w:ascii="仿宋_GB2312" w:hAnsi="Times New Roman" w:eastAsia="仿宋_GB2312" w:cs="Times New Roman"/>
          <w:b/>
          <w:bCs/>
          <w:kern w:val="2"/>
          <w:sz w:val="32"/>
          <w:szCs w:val="32"/>
          <w:highlight w:val="none"/>
          <w:lang w:val="en-US" w:eastAsia="zh-CN" w:bidi="ar-SA"/>
        </w:rPr>
        <w:t>一、主要职能</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二、机构设置及人员构成情况</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3" w:firstLineChars="113"/>
        <w:jc w:val="both"/>
        <w:textAlignment w:val="auto"/>
        <w:rPr>
          <w:rFonts w:hint="eastAsia" w:ascii="仿宋_GB2312" w:hAnsi="Times New Roman" w:eastAsia="仿宋_GB2312" w:cs="Times New Roman"/>
          <w:b/>
          <w:bCs/>
          <w:kern w:val="2"/>
          <w:sz w:val="32"/>
          <w:szCs w:val="32"/>
          <w:highlight w:val="none"/>
          <w:lang w:val="en-US" w:eastAsia="zh-CN" w:bidi="ar-SA"/>
        </w:rPr>
      </w:pPr>
      <w:r>
        <w:rPr>
          <w:rFonts w:hint="eastAsia" w:ascii="仿宋_GB2312" w:hAnsi="Times New Roman" w:eastAsia="仿宋_GB2312" w:cs="Times New Roman"/>
          <w:b/>
          <w:bCs/>
          <w:kern w:val="2"/>
          <w:sz w:val="32"/>
          <w:szCs w:val="32"/>
          <w:highlight w:val="none"/>
          <w:lang w:val="en-US" w:eastAsia="zh-CN" w:bidi="ar-SA"/>
        </w:rPr>
        <w:t>第二部分：自治区公安厅森林公安直属一分局高峰派出所2025年单位预算情况说明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一、单位预算收支增减变化情况说明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二、单位预算收入总体情况说明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三、单位预算支出总体情况说明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四、政府性基金预算支出情况说明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五、国有资本经营预算支出情况说明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六、一般公共预算“三公”经费支出情况说明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七、机关运行经费安排情况说明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八、政府采购预算安排情况说明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九、国有资产占用情况说明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十、预算绩效目标情况说明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3" w:firstLineChars="113"/>
        <w:jc w:val="both"/>
        <w:textAlignment w:val="auto"/>
        <w:rPr>
          <w:rFonts w:hint="eastAsia" w:ascii="仿宋_GB2312" w:hAnsi="微软雅黑" w:eastAsia="仿宋_GB2312" w:cs="仿宋_GB2312"/>
          <w:b/>
          <w:bCs/>
          <w:sz w:val="32"/>
          <w:szCs w:val="32"/>
          <w:shd w:val="clear" w:color="auto" w:fill="FFFFFF"/>
        </w:rPr>
      </w:pPr>
      <w:r>
        <w:rPr>
          <w:rFonts w:hint="eastAsia" w:ascii="仿宋_GB2312" w:hAnsi="微软雅黑" w:eastAsia="仿宋_GB2312" w:cs="仿宋_GB2312"/>
          <w:b/>
          <w:bCs/>
          <w:sz w:val="32"/>
          <w:szCs w:val="32"/>
          <w:shd w:val="clear" w:color="auto" w:fill="FFFFFF"/>
        </w:rPr>
        <w:t>第三部分：名词解释</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3" w:firstLineChars="113"/>
        <w:jc w:val="both"/>
        <w:textAlignment w:val="auto"/>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b/>
          <w:bCs/>
          <w:sz w:val="32"/>
          <w:szCs w:val="32"/>
          <w:shd w:val="clear" w:color="auto" w:fill="FFFFFF"/>
        </w:rPr>
        <w:t>第四部分：自治区公安厅森林公安直属一分局</w:t>
      </w:r>
      <w:r>
        <w:rPr>
          <w:rFonts w:hint="eastAsia" w:ascii="仿宋_GB2312" w:hAnsi="微软雅黑" w:eastAsia="仿宋_GB2312" w:cs="仿宋_GB2312"/>
          <w:b/>
          <w:bCs/>
          <w:sz w:val="32"/>
          <w:szCs w:val="32"/>
          <w:shd w:val="clear" w:color="auto" w:fill="FFFFFF"/>
          <w:lang w:eastAsia="zh-CN"/>
        </w:rPr>
        <w:t>高峰</w:t>
      </w:r>
      <w:r>
        <w:rPr>
          <w:rFonts w:hint="eastAsia" w:ascii="仿宋_GB2312" w:hAnsi="微软雅黑" w:eastAsia="仿宋_GB2312" w:cs="仿宋_GB2312"/>
          <w:b/>
          <w:bCs/>
          <w:sz w:val="32"/>
          <w:szCs w:val="32"/>
          <w:shd w:val="clear" w:color="auto" w:fill="FFFFFF"/>
        </w:rPr>
        <w:t>派出所202</w:t>
      </w:r>
      <w:r>
        <w:rPr>
          <w:rFonts w:hint="eastAsia" w:ascii="仿宋_GB2312" w:hAnsi="微软雅黑" w:eastAsia="仿宋_GB2312" w:cs="仿宋_GB2312"/>
          <w:b/>
          <w:bCs/>
          <w:sz w:val="32"/>
          <w:szCs w:val="32"/>
          <w:shd w:val="clear" w:color="auto" w:fill="FFFFFF"/>
          <w:lang w:val="en-US" w:eastAsia="zh-CN"/>
        </w:rPr>
        <w:t>5</w:t>
      </w:r>
      <w:r>
        <w:rPr>
          <w:rFonts w:hint="eastAsia" w:ascii="仿宋_GB2312" w:hAnsi="微软雅黑" w:eastAsia="仿宋_GB2312" w:cs="仿宋_GB2312"/>
          <w:b/>
          <w:bCs/>
          <w:sz w:val="32"/>
          <w:szCs w:val="32"/>
          <w:shd w:val="clear" w:color="auto" w:fill="FFFFFF"/>
        </w:rPr>
        <w:t>年单位预算报表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微软雅黑" w:eastAsia="仿宋_GB2312" w:cs="仿宋_GB2312"/>
          <w:sz w:val="32"/>
          <w:szCs w:val="32"/>
          <w:shd w:val="clear" w:color="auto" w:fill="FFFFFF"/>
        </w:rPr>
        <w:t>表</w:t>
      </w:r>
      <w:r>
        <w:rPr>
          <w:rFonts w:hint="eastAsia" w:ascii="仿宋_GB2312" w:hAnsi="Times New Roman" w:eastAsia="仿宋_GB2312" w:cs="Times New Roman"/>
          <w:kern w:val="2"/>
          <w:sz w:val="32"/>
          <w:szCs w:val="32"/>
          <w:highlight w:val="none"/>
          <w:lang w:val="en-US" w:eastAsia="zh-CN" w:bidi="ar-SA"/>
        </w:rPr>
        <w:t>一：单位收支总体情况表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表二：单位收入总体情况表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表三：单位支出总体情况表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表四：财政拨款收支总体情况表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表五：一般公共预算支出情况表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表六：一般公共预算基本支出情况表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表七：财政拨款三公两费支出情况表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表八：政府性基金预算支出情况表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表九：国有资本经营预算支出情况表</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Times New Roman" w:eastAsia="仿宋_GB2312" w:cs="Times New Roman"/>
          <w:kern w:val="2"/>
          <w:sz w:val="32"/>
          <w:szCs w:val="32"/>
          <w:highlight w:val="none"/>
          <w:lang w:val="en-US" w:eastAsia="zh-CN" w:bidi="ar-SA"/>
        </w:rPr>
        <w:t>表十：自治区对下转移支付项目绩效目标公开表</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黑体" w:hAnsi="宋体" w:eastAsia="黑体" w:cs="黑体"/>
          <w:sz w:val="31"/>
          <w:szCs w:val="31"/>
          <w:shd w:val="clear" w:color="auto" w:fill="FFFFFF"/>
        </w:rPr>
        <w:t>第一部分：单位概况</w:t>
      </w:r>
    </w:p>
    <w:p>
      <w:pPr>
        <w:keepNext w:val="0"/>
        <w:keepLines w:val="0"/>
        <w:pageBreakBefore w:val="0"/>
        <w:kinsoku/>
        <w:wordWrap/>
        <w:overflowPunct/>
        <w:topLinePunct w:val="0"/>
        <w:autoSpaceDE/>
        <w:autoSpaceDN/>
        <w:bidi w:val="0"/>
        <w:adjustRightInd w:val="0"/>
        <w:snapToGrid w:val="0"/>
        <w:spacing w:line="240" w:lineRule="auto"/>
        <w:ind w:right="-218" w:rightChars="-104" w:firstLine="681" w:firstLineChars="213"/>
        <w:textAlignment w:val="auto"/>
        <w:rPr>
          <w:rFonts w:hint="eastAsia" w:ascii="黑体" w:hAnsi="宋体" w:eastAsia="黑体" w:cs="Times New Roman"/>
          <w:bCs/>
          <w:sz w:val="32"/>
          <w:szCs w:val="32"/>
          <w:lang w:eastAsia="zh-CN"/>
        </w:rPr>
      </w:pPr>
      <w:r>
        <w:rPr>
          <w:rFonts w:hint="eastAsia" w:ascii="黑体" w:hAnsi="宋体" w:eastAsia="黑体" w:cs="Times New Roman"/>
          <w:bCs/>
          <w:sz w:val="32"/>
          <w:szCs w:val="32"/>
        </w:rPr>
        <w:t>一、主要职</w:t>
      </w:r>
      <w:r>
        <w:rPr>
          <w:rFonts w:hint="eastAsia" w:ascii="黑体" w:hAnsi="宋体" w:eastAsia="黑体" w:cs="Times New Roman"/>
          <w:bCs/>
          <w:sz w:val="32"/>
          <w:szCs w:val="32"/>
          <w:lang w:val="en-US" w:eastAsia="zh-CN"/>
        </w:rPr>
        <w:t>责</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自治区公安厅森林公安直属一分局高峰派出所主要职责是：</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（一）负责实施本辖区所管护林区和草原的治安管理工作，协助对应的林业主管部门做好维护林区稳定工作；</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（二）办理本辖区涉及森林和草原刑事案件、治安案件和法律规定的相关行政案件；</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（三）实施本辖区的森林和草原防火相关工作，负责火场警戒、交通疏导、治安维护、火案侦破等；</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Times New Roman" w:eastAsia="仿宋_GB2312" w:cs="Times New Roman"/>
          <w:kern w:val="2"/>
          <w:sz w:val="32"/>
          <w:szCs w:val="32"/>
          <w:highlight w:val="none"/>
          <w:lang w:val="en-US" w:eastAsia="zh-CN" w:bidi="ar-SA"/>
        </w:rPr>
        <w:t>（四）协同对应的林业主管部门开展防火宣传、火灾隐患排查、重点区域巡护、违规用火处罚等工作。</w:t>
      </w:r>
    </w:p>
    <w:p>
      <w:pPr>
        <w:keepNext w:val="0"/>
        <w:keepLines w:val="0"/>
        <w:pageBreakBefore w:val="0"/>
        <w:kinsoku/>
        <w:wordWrap/>
        <w:overflowPunct/>
        <w:topLinePunct w:val="0"/>
        <w:autoSpaceDE/>
        <w:autoSpaceDN/>
        <w:bidi w:val="0"/>
        <w:adjustRightInd w:val="0"/>
        <w:snapToGrid w:val="0"/>
        <w:spacing w:line="240" w:lineRule="auto"/>
        <w:ind w:right="-218" w:rightChars="-104" w:firstLine="361" w:firstLineChars="113"/>
        <w:jc w:val="both"/>
        <w:textAlignment w:val="auto"/>
        <w:rPr>
          <w:rFonts w:hint="eastAsia" w:ascii="黑体" w:hAnsi="宋体" w:eastAsia="黑体" w:cs="Times New Roman"/>
          <w:bCs/>
          <w:sz w:val="32"/>
          <w:szCs w:val="32"/>
        </w:rPr>
      </w:pPr>
      <w:r>
        <w:rPr>
          <w:rFonts w:hint="eastAsia" w:ascii="黑体" w:hAnsi="宋体" w:eastAsia="黑体" w:cs="Times New Roman"/>
          <w:bCs/>
          <w:sz w:val="32"/>
          <w:szCs w:val="32"/>
        </w:rPr>
        <w:t>二、机构设置及人员构成情况</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ascii="仿宋_GB2312" w:hAnsi="仿宋_GB2312" w:eastAsia="仿宋_GB2312" w:cs="仿宋_GB2312"/>
          <w:b/>
          <w:bCs/>
          <w:color w:val="FF0000"/>
          <w:sz w:val="32"/>
          <w:szCs w:val="32"/>
        </w:rPr>
      </w:pPr>
      <w:bookmarkStart w:id="0" w:name="_Hlk95820258"/>
      <w:r>
        <w:rPr>
          <w:rFonts w:hint="eastAsia" w:ascii="仿宋_GB2312" w:hAnsi="宋体" w:eastAsia="仿宋_GB2312" w:cs="Times New Roman"/>
          <w:kern w:val="2"/>
          <w:sz w:val="32"/>
          <w:szCs w:val="32"/>
          <w:highlight w:val="none"/>
          <w:lang w:val="en-US" w:eastAsia="zh-CN" w:bidi="ar-SA"/>
        </w:rPr>
        <w:t>广西壮族自治区公安厅森林公安直属一分局高峰派出所</w:t>
      </w:r>
      <w:bookmarkEnd w:id="0"/>
      <w:r>
        <w:rPr>
          <w:rFonts w:hint="eastAsia" w:ascii="仿宋_GB2312" w:hAnsi="宋体" w:eastAsia="仿宋_GB2312" w:cs="Times New Roman"/>
          <w:kern w:val="2"/>
          <w:sz w:val="32"/>
          <w:szCs w:val="32"/>
          <w:highlight w:val="none"/>
          <w:lang w:val="en-US" w:eastAsia="zh-CN" w:bidi="ar-SA"/>
        </w:rPr>
        <w:t>是自治区公安厅三级预算单位。现有行政编制25人，在职人数23人。机关后勤服务控制人数3人，实有1人。退休民警</w:t>
      </w: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15</w:t>
      </w:r>
      <w:r>
        <w:rPr>
          <w:rFonts w:hint="eastAsia" w:ascii="仿宋_GB2312" w:hAnsi="宋体" w:eastAsia="仿宋_GB2312" w:cs="Times New Roman"/>
          <w:kern w:val="2"/>
          <w:sz w:val="32"/>
          <w:szCs w:val="32"/>
          <w:highlight w:val="none"/>
          <w:lang w:val="en-US" w:eastAsia="zh-CN" w:bidi="ar-SA"/>
        </w:rPr>
        <w:t>人。</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黑体" w:hAnsi="宋体" w:eastAsia="黑体" w:cs="黑体"/>
          <w:sz w:val="31"/>
          <w:szCs w:val="31"/>
          <w:shd w:val="clear" w:color="auto" w:fill="FFFFFF"/>
        </w:rPr>
        <w:t>第二部分：自治区公安厅森林公安直属一分局</w:t>
      </w:r>
      <w:r>
        <w:rPr>
          <w:rFonts w:hint="eastAsia" w:ascii="黑体" w:hAnsi="宋体" w:eastAsia="黑体" w:cs="黑体"/>
          <w:sz w:val="31"/>
          <w:szCs w:val="31"/>
          <w:shd w:val="clear" w:color="auto" w:fill="FFFFFF"/>
          <w:lang w:eastAsia="zh-CN"/>
        </w:rPr>
        <w:t>高峰</w:t>
      </w:r>
      <w:r>
        <w:rPr>
          <w:rFonts w:hint="eastAsia" w:ascii="黑体" w:hAnsi="宋体" w:eastAsia="黑体" w:cs="黑体"/>
          <w:sz w:val="31"/>
          <w:szCs w:val="31"/>
          <w:shd w:val="clear" w:color="auto" w:fill="FFFFFF"/>
        </w:rPr>
        <w:t>派出所202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年单位预算情况说明</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黑体" w:hAnsi="宋体" w:eastAsia="黑体" w:cs="黑体"/>
          <w:sz w:val="31"/>
          <w:szCs w:val="31"/>
          <w:shd w:val="clear" w:color="auto" w:fill="FFFFFF"/>
        </w:rPr>
        <w:t>一、单位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收支</w:t>
      </w:r>
      <w:r>
        <w:rPr>
          <w:rFonts w:hint="eastAsia" w:ascii="黑体" w:hAnsi="宋体" w:eastAsia="黑体" w:cs="黑体"/>
          <w:sz w:val="31"/>
          <w:szCs w:val="31"/>
          <w:shd w:val="clear" w:color="auto" w:fill="FFFFFF"/>
          <w:lang w:eastAsia="zh-CN"/>
        </w:rPr>
        <w:t>增减变化</w:t>
      </w:r>
      <w:r>
        <w:rPr>
          <w:rFonts w:hint="eastAsia" w:ascii="黑体" w:hAnsi="宋体" w:eastAsia="黑体" w:cs="黑体"/>
          <w:sz w:val="31"/>
          <w:szCs w:val="31"/>
          <w:shd w:val="clear" w:color="auto" w:fill="FFFFFF"/>
        </w:rPr>
        <w:t>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2025年收入总预算686.33万元，2024年收入总预算663.73万元，同比增长22.60万元，增长3.40％。</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收入增长的主要原因：2025年有人员增资，相应的人员经费增加支出。</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 2025年支出总预算686.33万元，2024年支出总预算663.73万元，基本支出预算629.47万元，占支出总预算91.72％，同比增长15.05万元，增长2.45％。项目支出预算56.86万元，占支出总预算8.28％，同比增长7.55万元，增长15.31％。</w:t>
      </w:r>
      <w:bookmarkStart w:id="1" w:name="_Hlk96859117"/>
      <w:bookmarkEnd w:id="1"/>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支出增长的主要原因：基本支出财政供养人员的职务、职级变动导致工资总额增加，与之相关补贴经费增加，社会保障缴费也增加。</w:t>
      </w:r>
    </w:p>
    <w:p>
      <w:pPr>
        <w:keepNext w:val="0"/>
        <w:keepLines w:val="0"/>
        <w:pageBreakBefore w:val="0"/>
        <w:kinsoku/>
        <w:wordWrap/>
        <w:overflowPunct/>
        <w:topLinePunct w:val="0"/>
        <w:autoSpaceDE/>
        <w:autoSpaceDN/>
        <w:bidi w:val="0"/>
        <w:adjustRightInd w:val="0"/>
        <w:snapToGrid w:val="0"/>
        <w:spacing w:line="240" w:lineRule="auto"/>
        <w:ind w:right="-218" w:rightChars="-104" w:firstLine="361" w:firstLineChars="113"/>
        <w:jc w:val="both"/>
        <w:textAlignment w:val="auto"/>
        <w:rPr>
          <w:rFonts w:hint="eastAsia" w:ascii="黑体" w:hAnsi="宋体" w:eastAsia="黑体" w:cs="Times New Roman"/>
          <w:bCs/>
          <w:sz w:val="32"/>
          <w:szCs w:val="32"/>
        </w:rPr>
      </w:pPr>
      <w:r>
        <w:rPr>
          <w:rFonts w:hint="eastAsia" w:ascii="黑体" w:hAnsi="宋体" w:eastAsia="黑体" w:cs="Times New Roman"/>
          <w:bCs/>
          <w:sz w:val="32"/>
          <w:szCs w:val="32"/>
        </w:rPr>
        <w:t>二、</w:t>
      </w:r>
      <w:r>
        <w:rPr>
          <w:rFonts w:hint="eastAsia" w:ascii="黑体" w:hAnsi="宋体" w:eastAsia="黑体" w:cs="黑体"/>
          <w:sz w:val="31"/>
          <w:szCs w:val="31"/>
          <w:shd w:val="clear" w:color="auto" w:fill="FFFFFF"/>
        </w:rPr>
        <w:t>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收入总体情况说明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2025年收入总预算686.33万元，2024年收入总预算663.73万元，同比增长22.60万元，增长3.40％。</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其中：一般公共预算收入686.33万元（663.73万元），同比增长22.60万元，增长3.40％；上年结转结余资金收入0万元。</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ascii="仿宋_GB2312" w:hAnsi="微软雅黑" w:eastAsia="仿宋_GB2312" w:cs="仿宋_GB2312"/>
          <w:color w:val="0000FF"/>
          <w:sz w:val="31"/>
          <w:szCs w:val="31"/>
          <w:shd w:val="clear" w:color="auto" w:fill="FFFFFF"/>
        </w:rPr>
      </w:pPr>
      <w:r>
        <w:rPr>
          <w:rFonts w:hint="eastAsia" w:ascii="仿宋_GB2312" w:hAnsi="宋体" w:eastAsia="仿宋_GB2312" w:cs="Times New Roman"/>
          <w:kern w:val="2"/>
          <w:sz w:val="32"/>
          <w:szCs w:val="32"/>
          <w:highlight w:val="none"/>
          <w:lang w:val="en-US" w:eastAsia="zh-CN" w:bidi="ar-SA"/>
        </w:rPr>
        <w:t>收入增长的主要原因：财政供养人员的职务、职级变动工资总额增加，与之相关补贴经费增加，社会保障缴费也增加。</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黑体" w:hAnsi="宋体" w:eastAsia="黑体" w:cs="黑体"/>
          <w:sz w:val="31"/>
          <w:szCs w:val="31"/>
          <w:shd w:val="clear" w:color="auto" w:fill="FFFFFF"/>
        </w:rPr>
        <w:t>三、单位</w:t>
      </w:r>
      <w:r>
        <w:rPr>
          <w:rFonts w:hint="eastAsia" w:ascii="黑体" w:hAnsi="宋体" w:eastAsia="黑体" w:cs="黑体"/>
          <w:sz w:val="31"/>
          <w:szCs w:val="31"/>
          <w:shd w:val="clear" w:color="auto" w:fill="FFFFFF"/>
          <w:lang w:eastAsia="zh-CN"/>
        </w:rPr>
        <w:t>预算</w:t>
      </w:r>
      <w:r>
        <w:rPr>
          <w:rFonts w:hint="eastAsia" w:ascii="黑体" w:hAnsi="宋体" w:eastAsia="黑体" w:cs="黑体"/>
          <w:sz w:val="31"/>
          <w:szCs w:val="31"/>
          <w:shd w:val="clear" w:color="auto" w:fill="FFFFFF"/>
        </w:rPr>
        <w:t>支出总体情况说明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2025年支出总预算686.33万元，2024年支出总预算663.73万元，基本支出预算629.47万元，占支出总预算91.72％，同比增长15.05万元，增长2.45％。项目支出预算56.86万元，占支出总预算8.28％，同比增长7.55万元，增长15.31％。</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（一）按支出功能分类科目划分，共分为四类，其中：</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20" w:firstLineChars="100"/>
        <w:jc w:val="both"/>
        <w:textAlignment w:val="auto"/>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kern w:val="2"/>
          <w:sz w:val="32"/>
          <w:szCs w:val="32"/>
          <w:highlight w:val="none"/>
          <w:lang w:val="en-US" w:eastAsia="zh-CN" w:bidi="ar-SA"/>
        </w:rPr>
        <w:t>204公共安全支出类科目支出515.81万元，占支出总预算75.15％，同比增长28.47万元，增长5.84％；增长原因：财政供养人员的职务、职级变动</w:t>
      </w: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导致工资总额增加，与之相关补贴经费增加，社会保障缴费也增加。</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208社会保障和就业支出类科目支出101.26万元，占支出总预算14.75％，同比减少8.70万元，减少7.91％；减少原因：由于人员调动，相应的社保经费基数降低，相对于征缴经费减少。</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kern w:val="2"/>
          <w:sz w:val="32"/>
          <w:szCs w:val="32"/>
          <w:highlight w:val="none"/>
          <w:lang w:val="en-US" w:eastAsia="zh-CN" w:bidi="ar-SA"/>
        </w:rPr>
        <w:t>210卫生健康支出类科目支出26.42万元，占支出总预算3.85％，同比增长1.08万元，增长4.26％；增长原因：财政供养人员的职务、职级变动</w:t>
      </w: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，导致相关的卫生健康支出增长。</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221住房保障支出类科目支出42.84万元，占支出总预算6.24％，同比增长1.75万元，增长4.26％。增长原因：财政供养人员的职务、职级变动，导致相关的住房保障支出增长。</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（二）按支出结构划分为基本支出和项目支出。</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1．基本支出预算</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基本支出预算629.47万元，占支出总预算91.72％，同比增长15.05万元，增长2.45％。</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人员经费预算529.65万元，占基本支出预算84.14％，同比增长19.50万元，增长3.82％。增长原因：财政供养人员的职务、职级变动,</w:t>
      </w: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相应的人员经费</w:t>
      </w:r>
      <w:r>
        <w:rPr>
          <w:rFonts w:hint="eastAsia" w:ascii="仿宋_GB2312" w:hAnsi="宋体" w:eastAsia="仿宋_GB2312" w:cs="Times New Roman"/>
          <w:kern w:val="2"/>
          <w:sz w:val="32"/>
          <w:szCs w:val="32"/>
          <w:highlight w:val="none"/>
          <w:lang w:val="en-US" w:eastAsia="zh-CN" w:bidi="ar-SA"/>
        </w:rPr>
        <w:t>增长。其中：工资福利支出预算488.91万元，占基本支出预算77.67％，同比增长21.55万元，增长4.61％；增长原因：财政供养人员的职务、职级变动，相应的工资福利支出增长。对个人和家庭的补助预算40.74万元，占基本支出预算6.47％，同比减少2.05万元，减少4.79％。减少原因：有人员调动，相应的补助费用减少。</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公用经费（商品和服务支出）预算99.82万元，占基本支出预算15.86％，同比减少4.45万元，减少4.27％。减少原因：由于有人员调动，工资总额减少，工会经费有所减少。</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2.项目支出预算</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项目支出预算56.86万元，占支出总预算9.03％，同比增长7.55万元，增长15.31％。支出增长原因主要为:</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辖区内案</w:t>
      </w:r>
      <w:r>
        <w:rPr>
          <w:rFonts w:hint="eastAsia" w:ascii="仿宋_GB2312" w:hAnsi="微软雅黑" w:eastAsia="仿宋_GB2312" w:cs="仿宋_GB2312"/>
          <w:color w:val="000000" w:themeColor="text1"/>
          <w:sz w:val="31"/>
          <w:szCs w:val="31"/>
          <w:shd w:val="clear" w:color="auto" w:fill="FFFFFF"/>
          <w:lang w:eastAsia="zh-CN"/>
          <w14:textFill>
            <w14:solidFill>
              <w14:schemeClr w14:val="tx1"/>
            </w14:solidFill>
          </w14:textFill>
        </w:rPr>
        <w:t>件</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数增加</w:t>
      </w:r>
      <w:r>
        <w:rPr>
          <w:rFonts w:hint="eastAsia" w:ascii="仿宋_GB2312" w:hAnsi="微软雅黑" w:eastAsia="仿宋_GB2312" w:cs="仿宋_GB2312"/>
          <w:color w:val="000000" w:themeColor="text1"/>
          <w:sz w:val="31"/>
          <w:szCs w:val="31"/>
          <w:shd w:val="clear" w:color="auto" w:fill="FFFFFF"/>
          <w:lang w:eastAsia="zh-CN"/>
          <w14:textFill>
            <w14:solidFill>
              <w14:schemeClr w14:val="tx1"/>
            </w14:solidFill>
          </w14:textFill>
        </w:rPr>
        <w:t>，导致</w:t>
      </w:r>
      <w:r>
        <w:rPr>
          <w:rFonts w:hint="eastAsia" w:ascii="仿宋_GB2312" w:hAnsi="宋体" w:eastAsia="仿宋_GB2312" w:cs="Times New Roman"/>
          <w:kern w:val="2"/>
          <w:sz w:val="32"/>
          <w:szCs w:val="32"/>
          <w:highlight w:val="none"/>
          <w:lang w:val="en-US" w:eastAsia="zh-CN" w:bidi="ar-SA"/>
        </w:rPr>
        <w:t>执法办案经费增加。</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四、政府性基金预算支出情况说明</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rFonts w:hint="eastAsia" w:ascii="黑体" w:hAnsi="宋体" w:eastAsia="仿宋_GB2312" w:cs="黑体"/>
          <w:sz w:val="31"/>
          <w:szCs w:val="31"/>
          <w:shd w:val="clear" w:color="auto" w:fill="FFFFFF"/>
          <w:lang w:eastAsia="zh-CN"/>
        </w:rPr>
      </w:pPr>
      <w:r>
        <w:rPr>
          <w:rFonts w:hint="eastAsia" w:ascii="仿宋_GB2312" w:hAnsi="微软雅黑" w:eastAsia="仿宋_GB2312" w:cs="仿宋_GB2312"/>
          <w:sz w:val="31"/>
          <w:szCs w:val="31"/>
          <w:shd w:val="clear" w:color="auto" w:fill="FFFFFF"/>
        </w:rPr>
        <w:t>我单位</w:t>
      </w:r>
      <w:r>
        <w:rPr>
          <w:rFonts w:hint="eastAsia" w:ascii="仿宋_GB2312" w:hAnsi="微软雅黑" w:eastAsia="仿宋_GB2312" w:cs="仿宋_GB2312"/>
          <w:sz w:val="31"/>
          <w:szCs w:val="31"/>
          <w:shd w:val="clear" w:color="auto" w:fill="FFFFFF"/>
          <w:lang w:val="en-US" w:eastAsia="zh-CN"/>
        </w:rPr>
        <w:t>2025年</w:t>
      </w:r>
      <w:r>
        <w:rPr>
          <w:rFonts w:hint="eastAsia" w:ascii="仿宋_GB2312" w:hAnsi="微软雅黑" w:eastAsia="仿宋_GB2312" w:cs="仿宋_GB2312"/>
          <w:sz w:val="31"/>
          <w:szCs w:val="31"/>
          <w:shd w:val="clear" w:color="auto" w:fill="FFFFFF"/>
        </w:rPr>
        <w:t>无政府性基金预算收支</w:t>
      </w:r>
      <w:r>
        <w:rPr>
          <w:rFonts w:hint="eastAsia" w:ascii="仿宋_GB2312" w:hAnsi="微软雅黑" w:eastAsia="仿宋_GB2312" w:cs="仿宋_GB2312"/>
          <w:sz w:val="31"/>
          <w:szCs w:val="31"/>
          <w:shd w:val="clear" w:color="auto" w:fill="FFFFFF"/>
          <w:lang w:eastAsia="zh-CN"/>
        </w:rPr>
        <w:t>。</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五、</w:t>
      </w:r>
      <w:r>
        <w:rPr>
          <w:rFonts w:hint="eastAsia" w:ascii="黑体" w:hAnsi="宋体" w:eastAsia="黑体" w:cs="黑体"/>
          <w:sz w:val="31"/>
          <w:szCs w:val="31"/>
          <w:shd w:val="clear" w:color="auto" w:fill="FFFFFF"/>
          <w:lang w:eastAsia="zh-CN"/>
        </w:rPr>
        <w:t>国有资本经营</w:t>
      </w:r>
      <w:r>
        <w:rPr>
          <w:rFonts w:hint="eastAsia" w:ascii="黑体" w:hAnsi="宋体" w:eastAsia="黑体" w:cs="黑体"/>
          <w:sz w:val="31"/>
          <w:szCs w:val="31"/>
          <w:shd w:val="clear" w:color="auto" w:fill="FFFFFF"/>
        </w:rPr>
        <w:t>预算支出情况说明</w:t>
      </w:r>
    </w:p>
    <w:p>
      <w:pPr>
        <w:pStyle w:val="4"/>
        <w:keepNext w:val="0"/>
        <w:keepLines w:val="0"/>
        <w:pageBreakBefore w:val="0"/>
        <w:widowControl/>
        <w:kinsoku/>
        <w:wordWrap/>
        <w:overflowPunct/>
        <w:topLinePunct w:val="0"/>
        <w:autoSpaceDE/>
        <w:bidi w:val="0"/>
        <w:spacing w:beforeAutospacing="0" w:afterAutospacing="0" w:line="240" w:lineRule="auto"/>
        <w:ind w:firstLine="646"/>
        <w:jc w:val="both"/>
        <w:textAlignment w:val="auto"/>
        <w:rPr>
          <w:rFonts w:hint="eastAsia" w:ascii="黑体" w:hAnsi="宋体" w:eastAsia="黑体" w:cs="黑体"/>
          <w:color w:val="5B9BD5" w:themeColor="accent1"/>
          <w:sz w:val="31"/>
          <w:szCs w:val="31"/>
          <w:shd w:val="clear" w:color="auto" w:fill="FFFFFF"/>
          <w14:textFill>
            <w14:solidFill>
              <w14:schemeClr w14:val="accent1"/>
            </w14:solidFill>
          </w14:textFill>
        </w:rPr>
      </w:pPr>
      <w:r>
        <w:rPr>
          <w:rFonts w:hint="eastAsia" w:ascii="仿宋_GB2312" w:hAnsi="微软雅黑" w:eastAsia="仿宋_GB2312" w:cs="仿宋_GB2312"/>
          <w:sz w:val="31"/>
          <w:szCs w:val="31"/>
          <w:shd w:val="clear" w:color="auto" w:fill="FFFFFF"/>
        </w:rPr>
        <w:t>我单位202</w:t>
      </w:r>
      <w:r>
        <w:rPr>
          <w:rFonts w:hint="eastAsia" w:ascii="仿宋_GB2312" w:hAnsi="微软雅黑" w:eastAsia="仿宋_GB2312" w:cs="仿宋_GB2312"/>
          <w:sz w:val="31"/>
          <w:szCs w:val="31"/>
          <w:shd w:val="clear" w:color="auto" w:fill="FFFFFF"/>
          <w:lang w:val="en-US" w:eastAsia="zh-CN"/>
        </w:rPr>
        <w:t>5</w:t>
      </w:r>
      <w:r>
        <w:rPr>
          <w:rFonts w:hint="eastAsia" w:ascii="仿宋_GB2312" w:hAnsi="微软雅黑" w:eastAsia="仿宋_GB2312" w:cs="仿宋_GB2312"/>
          <w:sz w:val="31"/>
          <w:szCs w:val="31"/>
          <w:shd w:val="clear" w:color="auto" w:fill="FFFFFF"/>
        </w:rPr>
        <w:t>年单位预算无国有资本经营预算。</w:t>
      </w:r>
    </w:p>
    <w:p>
      <w:pPr>
        <w:pStyle w:val="4"/>
        <w:keepNext w:val="0"/>
        <w:keepLines w:val="0"/>
        <w:pageBreakBefore w:val="0"/>
        <w:widowControl/>
        <w:kinsoku/>
        <w:wordWrap/>
        <w:overflowPunct/>
        <w:topLinePunct w:val="0"/>
        <w:autoSpaceDE/>
        <w:bidi w:val="0"/>
        <w:spacing w:beforeAutospacing="0" w:afterAutospacing="0" w:line="240" w:lineRule="auto"/>
        <w:ind w:firstLine="646"/>
        <w:jc w:val="both"/>
        <w:textAlignment w:val="auto"/>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六、一般公共预算“三公”经费支出情况说明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我单位2025年一般公共预算安排的“三公</w:t>
      </w:r>
      <w:bookmarkStart w:id="2" w:name="_GoBack"/>
      <w:bookmarkEnd w:id="2"/>
      <w:r>
        <w:rPr>
          <w:rFonts w:hint="eastAsia" w:ascii="仿宋_GB2312" w:hAnsi="宋体" w:eastAsia="仿宋_GB2312" w:cs="Times New Roman"/>
          <w:kern w:val="2"/>
          <w:sz w:val="32"/>
          <w:szCs w:val="32"/>
          <w:highlight w:val="none"/>
          <w:lang w:val="en-US" w:eastAsia="zh-CN" w:bidi="ar-SA"/>
        </w:rPr>
        <w:t>”经费支出预算11.92万元，同口径比2024年减少1.85万元，减少13.44％，具体如下：</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1.因公出国（境）费2025年预算安排0万元，比上年增加0万元，与上年持平。</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2.公务接待费2025年预算安排0万元，比上年减少1.85万元，减少100％。减少的原因是厉行节约，今年没有安排公务接待费。</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3.公务用车购置及运行费2025年预算安排11.92万元，比上年增加0万元，与上年持平，其中：</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公务用车购置费2025年预算安排0万元，比上年增加0万元，与上年持平。</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公务用车运行维护费2025年预算安排11.92万元，比上年增加0万元，与上年持平。</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七、机关运行经费安排情况说明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2025年机关运行经费预算99.82万元，同比增长37.85万元，增长61％。保障公安厅森林公安直属一分局高峰派出所日常运行，主要用于办公及印刷费、邮电费、差旅费、会议费、福利费、日常维修费、专用材料及一般设备购置费、办公用房水电费、办公用房物业管理费、公务用车运行维护费以及其他费用。</w:t>
      </w:r>
    </w:p>
    <w:p>
      <w:pPr>
        <w:pStyle w:val="4"/>
        <w:keepNext w:val="0"/>
        <w:keepLines w:val="0"/>
        <w:pageBreakBefore w:val="0"/>
        <w:widowControl/>
        <w:kinsoku/>
        <w:wordWrap/>
        <w:overflowPunct/>
        <w:topLinePunct w:val="0"/>
        <w:autoSpaceDE/>
        <w:bidi w:val="0"/>
        <w:spacing w:beforeAutospacing="0" w:afterAutospacing="0" w:line="240" w:lineRule="auto"/>
        <w:ind w:firstLine="646"/>
        <w:jc w:val="both"/>
        <w:textAlignment w:val="auto"/>
        <w:rPr>
          <w:rFonts w:hint="eastAsia" w:ascii="仿宋_GB2312" w:hAnsi="微软雅黑" w:eastAsia="仿宋_GB2312" w:cs="仿宋_GB2312"/>
          <w:color w:val="5B9BD5" w:themeColor="accent1"/>
          <w:sz w:val="31"/>
          <w:szCs w:val="31"/>
          <w:shd w:val="clear" w:color="auto" w:fill="FFFFFF"/>
          <w14:textFill>
            <w14:solidFill>
              <w14:schemeClr w14:val="accent1"/>
            </w14:solidFill>
          </w14:textFill>
        </w:rPr>
      </w:pPr>
      <w:r>
        <w:rPr>
          <w:rFonts w:hint="eastAsia" w:ascii="黑体" w:hAnsi="宋体" w:eastAsia="黑体" w:cs="黑体"/>
          <w:sz w:val="31"/>
          <w:szCs w:val="31"/>
          <w:shd w:val="clear" w:color="auto" w:fill="FFFFFF"/>
        </w:rPr>
        <w:t>八、政府采购预算安排情况说明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2024年政府采购预算26.02万元，同比增长6.35万元，增长32.28％。</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政府集中采购预算25.40万元，占政府采购预算97.62％，同比增长6.13万元，增长31.81％；分散采购预算0.62万元，占政府采购预算2.38％，同比增长0.22万元，增长55％。 主要原因:根据自治区财政政府采购有关规定，集中采购目与分类采购限额均进行了调整，因此集中采购项目增长，分散采购预算增长。</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货物采购1.30万元，占政府采购预算5％，同比减少3.25万元，减少71.43％。变化原因：货物类采购的物品减少。</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工程采购0万元，占政府采购预算0％，同比增加0万元，增长0％。较上年无变化。</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服务采购24.72万元，占政府采购预算95％，同比增加9.60万元，增长63.49％。变化原因：2025年新增物业服务费。</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hint="eastAsia" w:ascii="黑体" w:hAnsi="黑体" w:eastAsia="黑体" w:cs="黑体"/>
          <w:sz w:val="31"/>
          <w:szCs w:val="31"/>
          <w:shd w:val="clear" w:color="auto" w:fill="FFFFFF"/>
        </w:rPr>
      </w:pPr>
      <w:r>
        <w:rPr>
          <w:rFonts w:hint="eastAsia" w:ascii="仿宋_GB2312" w:hAnsi="宋体" w:eastAsia="仿宋_GB2312" w:cs="Times New Roman"/>
          <w:kern w:val="2"/>
          <w:sz w:val="32"/>
          <w:szCs w:val="32"/>
          <w:highlight w:val="none"/>
          <w:lang w:val="en-US" w:eastAsia="zh-CN" w:bidi="ar-SA"/>
        </w:rPr>
        <w:t>政府采购预算中，授予中小企业的合同金额25.4万元，占政府采购支出总额97.62%。其他因确需使用不可替代的专利、专业技术，基础设施限制或提供特定公共服务，无法授予中小企业份额。</w:t>
      </w:r>
    </w:p>
    <w:p>
      <w:pPr>
        <w:pStyle w:val="4"/>
        <w:keepNext w:val="0"/>
        <w:keepLines w:val="0"/>
        <w:pageBreakBefore w:val="0"/>
        <w:widowControl/>
        <w:kinsoku/>
        <w:wordWrap/>
        <w:overflowPunct/>
        <w:topLinePunct w:val="0"/>
        <w:autoSpaceDE/>
        <w:bidi w:val="0"/>
        <w:spacing w:beforeAutospacing="0" w:afterAutospacing="0" w:line="240" w:lineRule="auto"/>
        <w:ind w:firstLine="646"/>
        <w:jc w:val="both"/>
        <w:textAlignment w:val="auto"/>
        <w:rPr>
          <w:rFonts w:ascii="黑体" w:hAnsi="黑体" w:eastAsia="黑体" w:cs="黑体"/>
          <w:sz w:val="31"/>
          <w:szCs w:val="31"/>
          <w:shd w:val="clear" w:color="auto" w:fill="FFFFFF"/>
        </w:rPr>
      </w:pPr>
      <w:r>
        <w:rPr>
          <w:rFonts w:hint="eastAsia" w:ascii="黑体" w:hAnsi="黑体" w:eastAsia="黑体" w:cs="黑体"/>
          <w:sz w:val="31"/>
          <w:szCs w:val="31"/>
          <w:shd w:val="clear" w:color="auto" w:fill="FFFFFF"/>
        </w:rPr>
        <w:t>九、国有资产占用情况说明</w:t>
      </w:r>
    </w:p>
    <w:p>
      <w:pPr>
        <w:pStyle w:val="4"/>
        <w:keepNext w:val="0"/>
        <w:keepLines w:val="0"/>
        <w:pageBreakBefore w:val="0"/>
        <w:widowControl/>
        <w:kinsoku/>
        <w:wordWrap/>
        <w:overflowPunct/>
        <w:topLinePunct w:val="0"/>
        <w:autoSpaceDE/>
        <w:autoSpaceDN/>
        <w:bidi w:val="0"/>
        <w:spacing w:beforeAutospacing="0" w:afterAutospacing="0" w:line="240" w:lineRule="auto"/>
        <w:ind w:firstLine="361" w:firstLineChars="113"/>
        <w:jc w:val="both"/>
        <w:textAlignment w:val="auto"/>
        <w:rPr>
          <w:rFonts w:ascii="仿宋_GB2312" w:hAnsi="微软雅黑" w:eastAsia="仿宋_GB2312" w:cs="仿宋_GB2312"/>
          <w:sz w:val="31"/>
          <w:szCs w:val="31"/>
          <w:shd w:val="clear" w:color="auto" w:fill="FFFFFF"/>
        </w:rPr>
      </w:pPr>
      <w:r>
        <w:rPr>
          <w:rFonts w:hint="eastAsia" w:ascii="仿宋_GB2312" w:hAnsi="宋体" w:eastAsia="仿宋_GB2312" w:cs="Times New Roman"/>
          <w:kern w:val="2"/>
          <w:sz w:val="32"/>
          <w:szCs w:val="32"/>
          <w:highlight w:val="none"/>
          <w:lang w:val="en-US" w:eastAsia="zh-CN" w:bidi="ar-SA"/>
        </w:rPr>
        <w:t>车辆情况：一般执法执勤用车编制数3辆，实有车辆3辆。</w:t>
      </w:r>
    </w:p>
    <w:p>
      <w:pPr>
        <w:pStyle w:val="4"/>
        <w:keepNext w:val="0"/>
        <w:keepLines w:val="0"/>
        <w:pageBreakBefore w:val="0"/>
        <w:widowControl/>
        <w:numPr>
          <w:ilvl w:val="0"/>
          <w:numId w:val="1"/>
        </w:numPr>
        <w:kinsoku/>
        <w:wordWrap/>
        <w:overflowPunct/>
        <w:topLinePunct w:val="0"/>
        <w:autoSpaceDE/>
        <w:bidi w:val="0"/>
        <w:spacing w:beforeAutospacing="0" w:afterAutospacing="0" w:line="240" w:lineRule="auto"/>
        <w:ind w:firstLine="646"/>
        <w:jc w:val="both"/>
        <w:textAlignment w:val="auto"/>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预算绩效目标情况说明</w:t>
      </w:r>
    </w:p>
    <w:p>
      <w:pPr>
        <w:keepNext w:val="0"/>
        <w:keepLines w:val="0"/>
        <w:pageBreakBefore w:val="0"/>
        <w:tabs>
          <w:tab w:val="center" w:pos="4475"/>
        </w:tabs>
        <w:suppressAutoHyphens w:val="0"/>
        <w:kinsoku/>
        <w:wordWrap/>
        <w:overflowPunct/>
        <w:topLinePunct w:val="0"/>
        <w:autoSpaceDE/>
        <w:autoSpaceDN w:val="0"/>
        <w:bidi w:val="0"/>
        <w:spacing w:line="240" w:lineRule="auto"/>
        <w:ind w:firstLine="645"/>
        <w:jc w:val="both"/>
        <w:textAlignment w:val="auto"/>
        <w:rPr>
          <w:rFonts w:hint="eastAsia" w:ascii="仿宋_GB2312" w:hAnsi="微软雅黑" w:eastAsia="仿宋_GB2312" w:cs="仿宋_GB2312"/>
          <w:kern w:val="0"/>
          <w:sz w:val="31"/>
          <w:szCs w:val="31"/>
          <w:shd w:val="clear" w:color="auto" w:fill="FFFFFF"/>
          <w:lang w:val="en-US" w:eastAsia="zh-CN" w:bidi="ar-SA"/>
        </w:rPr>
      </w:pPr>
      <w:r>
        <w:rPr>
          <w:rFonts w:hint="eastAsia" w:ascii="仿宋_GB2312" w:hAnsi="微软雅黑" w:eastAsia="仿宋_GB2312" w:cs="仿宋_GB2312"/>
          <w:kern w:val="0"/>
          <w:sz w:val="31"/>
          <w:szCs w:val="31"/>
          <w:shd w:val="clear" w:color="auto" w:fill="FFFFFF"/>
          <w:lang w:val="en-US" w:eastAsia="zh-CN" w:bidi="ar-SA"/>
        </w:rPr>
        <w:t>（一）我单位2025年所有项目支出全面实施绩效目标管理，涉及自治区本级项目7个，预算资金56.86万元。绩效目标情况详见报表（敏感涉密项目除外）。</w:t>
      </w:r>
    </w:p>
    <w:p>
      <w:pPr>
        <w:keepNext w:val="0"/>
        <w:keepLines w:val="0"/>
        <w:pageBreakBefore w:val="0"/>
        <w:tabs>
          <w:tab w:val="center" w:pos="4475"/>
        </w:tabs>
        <w:kinsoku/>
        <w:wordWrap/>
        <w:overflowPunct/>
        <w:topLinePunct w:val="0"/>
        <w:autoSpaceDE/>
        <w:bidi w:val="0"/>
        <w:spacing w:line="240" w:lineRule="auto"/>
        <w:ind w:firstLine="620" w:firstLineChars="200"/>
        <w:jc w:val="both"/>
        <w:textAlignment w:val="auto"/>
        <w:rPr>
          <w:rFonts w:hint="default" w:ascii="仿宋_GB2312" w:hAnsi="微软雅黑" w:eastAsia="仿宋_GB2312" w:cs="仿宋_GB2312"/>
          <w:kern w:val="0"/>
          <w:sz w:val="31"/>
          <w:szCs w:val="31"/>
          <w:shd w:val="clear" w:color="auto" w:fill="FFFFFF"/>
          <w:lang w:val="en-US" w:eastAsia="zh-CN" w:bidi="ar-SA"/>
        </w:rPr>
      </w:pPr>
      <w:r>
        <w:rPr>
          <w:rFonts w:hint="eastAsia" w:ascii="仿宋_GB2312" w:hAnsi="微软雅黑" w:eastAsia="仿宋_GB2312" w:cs="仿宋_GB2312"/>
          <w:kern w:val="0"/>
          <w:sz w:val="31"/>
          <w:szCs w:val="31"/>
          <w:shd w:val="clear" w:color="auto" w:fill="FFFFFF"/>
          <w:lang w:val="en-US" w:eastAsia="zh-CN" w:bidi="ar-SA"/>
        </w:rPr>
        <w:t>（二）重点项目预算绩效目标说明</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020" w:type="dxa"/>
            <w:vAlign w:val="top"/>
          </w:tcPr>
          <w:p>
            <w:pPr>
              <w:keepNext w:val="0"/>
              <w:keepLines w:val="0"/>
              <w:pageBreakBefore w:val="0"/>
              <w:tabs>
                <w:tab w:val="center" w:pos="4475"/>
              </w:tabs>
              <w:kinsoku/>
              <w:wordWrap/>
              <w:overflowPunct/>
              <w:topLinePunct w:val="0"/>
              <w:autoSpaceDE/>
              <w:bidi w:val="0"/>
              <w:spacing w:line="240" w:lineRule="auto"/>
              <w:jc w:val="center"/>
              <w:textAlignment w:val="auto"/>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3020" w:type="dxa"/>
            <w:vAlign w:val="top"/>
          </w:tcPr>
          <w:p>
            <w:pPr>
              <w:keepNext w:val="0"/>
              <w:keepLines w:val="0"/>
              <w:pageBreakBefore w:val="0"/>
              <w:tabs>
                <w:tab w:val="center" w:pos="4475"/>
              </w:tabs>
              <w:kinsoku/>
              <w:wordWrap/>
              <w:overflowPunct/>
              <w:topLinePunct w:val="0"/>
              <w:autoSpaceDE/>
              <w:bidi w:val="0"/>
              <w:spacing w:line="240" w:lineRule="auto"/>
              <w:jc w:val="center"/>
              <w:textAlignment w:val="auto"/>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3021" w:type="dxa"/>
            <w:vAlign w:val="top"/>
          </w:tcPr>
          <w:p>
            <w:pPr>
              <w:keepNext w:val="0"/>
              <w:keepLines w:val="0"/>
              <w:pageBreakBefore w:val="0"/>
              <w:tabs>
                <w:tab w:val="center" w:pos="4475"/>
              </w:tabs>
              <w:kinsoku/>
              <w:wordWrap/>
              <w:overflowPunct/>
              <w:topLinePunct w:val="0"/>
              <w:autoSpaceDE/>
              <w:bidi w:val="0"/>
              <w:spacing w:line="240" w:lineRule="auto"/>
              <w:jc w:val="center"/>
              <w:textAlignment w:val="auto"/>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vAlign w:val="top"/>
          </w:tcPr>
          <w:p>
            <w:pPr>
              <w:keepNext w:val="0"/>
              <w:keepLines w:val="0"/>
              <w:pageBreakBefore w:val="0"/>
              <w:tabs>
                <w:tab w:val="center" w:pos="4475"/>
              </w:tabs>
              <w:kinsoku/>
              <w:wordWrap/>
              <w:overflowPunct/>
              <w:topLinePunct w:val="0"/>
              <w:autoSpaceDE/>
              <w:bidi w:val="0"/>
              <w:spacing w:line="240" w:lineRule="auto"/>
              <w:textAlignment w:val="auto"/>
              <w:rPr>
                <w:rFonts w:hint="default" w:ascii="仿宋_GB2312" w:hAnsi="仿宋_GB2312" w:eastAsia="仿宋_GB2312" w:cs="仿宋_GB2312"/>
                <w:szCs w:val="32"/>
                <w:vertAlign w:val="baseline"/>
                <w:lang w:eastAsia="zh-CN"/>
              </w:rPr>
            </w:pP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警犬驯养业务工作经费</w:t>
            </w:r>
          </w:p>
        </w:tc>
        <w:tc>
          <w:tcPr>
            <w:tcW w:w="3020" w:type="dxa"/>
            <w:vAlign w:val="top"/>
          </w:tcPr>
          <w:p>
            <w:pPr>
              <w:keepNext w:val="0"/>
              <w:keepLines w:val="0"/>
              <w:pageBreakBefore w:val="0"/>
              <w:tabs>
                <w:tab w:val="center" w:pos="4475"/>
              </w:tabs>
              <w:kinsoku/>
              <w:wordWrap/>
              <w:overflowPunct/>
              <w:topLinePunct w:val="0"/>
              <w:autoSpaceDE/>
              <w:bidi w:val="0"/>
              <w:spacing w:line="240" w:lineRule="auto"/>
              <w:jc w:val="center"/>
              <w:textAlignment w:val="auto"/>
              <w:rPr>
                <w:rFonts w:hint="default" w:ascii="仿宋_GB2312" w:hAnsi="仿宋_GB2312" w:eastAsia="仿宋_GB2312" w:cs="仿宋_GB2312"/>
                <w:szCs w:val="32"/>
                <w:vertAlign w:val="baseline"/>
              </w:rPr>
            </w:pPr>
            <w:r>
              <w:rPr>
                <w:rFonts w:hint="eastAsia" w:ascii="仿宋_GB2312" w:hAnsi="微软雅黑" w:eastAsia="仿宋_GB2312" w:cs="仿宋_GB2312"/>
                <w:color w:val="000000" w:themeColor="text1"/>
                <w:sz w:val="31"/>
                <w:szCs w:val="31"/>
                <w:shd w:val="clear" w:color="auto" w:fill="FFFFFF"/>
                <w:lang w:val="en-US" w:eastAsia="zh-CN"/>
                <w14:textFill>
                  <w14:solidFill>
                    <w14:schemeClr w14:val="tx1"/>
                  </w14:solidFill>
                </w14:textFill>
              </w:rPr>
              <w:t>10.20</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万元</w:t>
            </w:r>
          </w:p>
        </w:tc>
        <w:tc>
          <w:tcPr>
            <w:tcW w:w="3021" w:type="dxa"/>
            <w:vAlign w:val="top"/>
          </w:tcPr>
          <w:p>
            <w:pPr>
              <w:keepNext w:val="0"/>
              <w:keepLines w:val="0"/>
              <w:pageBreakBefore w:val="0"/>
              <w:widowControl w:val="0"/>
              <w:tabs>
                <w:tab w:val="center" w:pos="4475"/>
              </w:tabs>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pPr>
            <w:r>
              <w:rPr>
                <w:rFonts w:hint="eastAsia" w:ascii="仿宋_GB2312" w:hAnsi="微软雅黑" w:eastAsia="仿宋_GB2312" w:cs="仿宋_GB2312"/>
                <w:color w:val="000000" w:themeColor="text1"/>
                <w:sz w:val="21"/>
                <w:szCs w:val="21"/>
                <w:shd w:val="clear" w:color="auto" w:fill="FFFFFF"/>
                <w14:textFill>
                  <w14:solidFill>
                    <w14:schemeClr w14:val="tx1"/>
                  </w14:solidFill>
                </w14:textFill>
              </w:rPr>
              <w:t>保障警犬正常训练、使用使用警犬开展业务</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sz w:val="21"/>
                <w:szCs w:val="21"/>
                <w:shd w:val="clear" w:color="auto" w:fill="FFFFFF"/>
                <w14:textFill>
                  <w14:solidFill>
                    <w14:schemeClr w14:val="tx1"/>
                  </w14:solidFill>
                </w14:textFill>
              </w:rPr>
              <w:t>做好治安防范</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等</w:t>
            </w:r>
            <w:r>
              <w:rPr>
                <w:rFonts w:hint="eastAsia" w:ascii="仿宋_GB2312" w:hAnsi="微软雅黑" w:eastAsia="仿宋_GB2312" w:cs="仿宋_GB2312"/>
                <w:color w:val="000000" w:themeColor="text1"/>
                <w:sz w:val="21"/>
                <w:szCs w:val="21"/>
                <w:shd w:val="clear" w:color="auto" w:fill="FFFFFF"/>
                <w14:textFill>
                  <w14:solidFill>
                    <w14:schemeClr w14:val="tx1"/>
                  </w14:solidFill>
                </w14:textFill>
              </w:rPr>
              <w:t>工作，维护林区社会和谐稳定。</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提高</w:t>
            </w:r>
            <w:r>
              <w:rPr>
                <w:rFonts w:hint="eastAsia" w:ascii="仿宋_GB2312" w:hAnsi="微软雅黑" w:eastAsia="仿宋_GB2312" w:cs="仿宋_GB2312"/>
                <w:color w:val="000000" w:themeColor="text1"/>
                <w:sz w:val="21"/>
                <w:szCs w:val="21"/>
                <w:shd w:val="clear" w:color="auto" w:fill="FFFFFF"/>
                <w14:textFill>
                  <w14:solidFill>
                    <w14:schemeClr w14:val="tx1"/>
                  </w14:solidFill>
                </w14:textFill>
              </w:rPr>
              <w:t>社会效益</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，充分</w:t>
            </w:r>
            <w:r>
              <w:rPr>
                <w:rFonts w:ascii="仿宋_GB2312" w:hAnsi="微软雅黑" w:eastAsia="仿宋_GB2312" w:cs="仿宋_GB2312"/>
                <w:color w:val="000000" w:themeColor="text1"/>
                <w:sz w:val="21"/>
                <w:szCs w:val="21"/>
                <w:shd w:val="clear" w:color="auto" w:fill="FFFFFF"/>
                <w14:textFill>
                  <w14:solidFill>
                    <w14:schemeClr w14:val="tx1"/>
                  </w14:solidFill>
                </w14:textFill>
              </w:rPr>
              <w:t>发挥警犬在预防打击犯罪中的积极作用</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，增强人民群众</w:t>
            </w:r>
            <w:r>
              <w:rPr>
                <w:rFonts w:hint="eastAsia" w:ascii="仿宋_GB2312" w:hAnsi="微软雅黑" w:eastAsia="仿宋_GB2312" w:cs="仿宋_GB2312"/>
                <w:color w:val="000000" w:themeColor="text1"/>
                <w:sz w:val="21"/>
                <w:szCs w:val="21"/>
                <w:shd w:val="clear" w:color="auto" w:fill="FFFFFF"/>
                <w14:textFill>
                  <w14:solidFill>
                    <w14:schemeClr w14:val="tx1"/>
                  </w14:solidFill>
                </w14:textFill>
              </w:rPr>
              <w:t>满意度</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，更好的服务人民</w:t>
            </w:r>
            <w:r>
              <w:rPr>
                <w:rFonts w:hint="eastAsia" w:ascii="仿宋_GB2312" w:hAnsi="微软雅黑" w:eastAsia="仿宋_GB2312" w:cs="仿宋_GB2312"/>
                <w:color w:val="000000" w:themeColor="text1"/>
                <w:sz w:val="21"/>
                <w:szCs w:val="21"/>
                <w:shd w:val="clear" w:color="auto" w:fill="FFFFFF"/>
                <w14:textFill>
                  <w14:solidFill>
                    <w14:schemeClr w14:val="tx1"/>
                  </w14:solidFill>
                </w14:textFill>
              </w:rPr>
              <w:t>。</w:t>
            </w:r>
            <w:r>
              <w:rPr>
                <w:rFonts w:hint="eastAsia" w:ascii="仿宋_GB2312" w:hAnsi="微软雅黑" w:eastAsia="仿宋_GB2312" w:cs="仿宋_GB2312"/>
                <w:color w:val="000000" w:themeColor="text1"/>
                <w:sz w:val="21"/>
                <w:szCs w:val="21"/>
                <w:shd w:val="clear" w:color="auto" w:fill="FFFFFF"/>
                <w:lang w:eastAsia="zh-CN"/>
                <w14:textFill>
                  <w14:solidFill>
                    <w14:schemeClr w14:val="tx1"/>
                  </w14:solidFill>
                </w14:textFill>
              </w:rPr>
              <w:t>为确保</w:t>
            </w:r>
            <w:r>
              <w:rPr>
                <w:rFonts w:hint="eastAsia" w:ascii="仿宋_GB2312" w:hAnsi="微软雅黑" w:eastAsia="仿宋_GB2312" w:cs="仿宋_GB2312"/>
                <w:kern w:val="0"/>
                <w:sz w:val="21"/>
                <w:szCs w:val="21"/>
                <w:shd w:val="clear" w:color="auto" w:fill="FFFFFF"/>
                <w:lang w:val="en-US" w:eastAsia="zh-CN" w:bidi="ar-SA"/>
              </w:rPr>
              <w:t>预算绩效目标的实现，我所积极推动相关工作的开展，针对可能出现的问题，及时采取相应的应对措施，加强项目管理，确保绩效目标的顺利实现。</w:t>
            </w:r>
          </w:p>
          <w:p>
            <w:pPr>
              <w:keepNext w:val="0"/>
              <w:keepLines w:val="0"/>
              <w:pageBreakBefore w:val="0"/>
              <w:tabs>
                <w:tab w:val="center" w:pos="4475"/>
              </w:tabs>
              <w:kinsoku/>
              <w:wordWrap/>
              <w:overflowPunct/>
              <w:topLinePunct w:val="0"/>
              <w:autoSpaceDE/>
              <w:bidi w:val="0"/>
              <w:spacing w:line="240" w:lineRule="auto"/>
              <w:textAlignment w:val="auto"/>
              <w:rPr>
                <w:rFonts w:hint="default" w:ascii="仿宋_GB2312" w:hAnsi="仿宋_GB2312" w:eastAsia="仿宋_GB2312" w:cs="仿宋_GB2312"/>
                <w:szCs w:val="32"/>
                <w:vertAlign w:val="baseline"/>
              </w:rPr>
            </w:pPr>
          </w:p>
        </w:tc>
      </w:tr>
    </w:tbl>
    <w:p>
      <w:pPr>
        <w:keepNext w:val="0"/>
        <w:keepLines w:val="0"/>
        <w:pageBreakBefore w:val="0"/>
        <w:widowControl w:val="0"/>
        <w:tabs>
          <w:tab w:val="center" w:pos="4475"/>
        </w:tabs>
        <w:kinsoku/>
        <w:wordWrap/>
        <w:overflowPunct/>
        <w:topLinePunct w:val="0"/>
        <w:autoSpaceDE/>
        <w:autoSpaceDN/>
        <w:bidi w:val="0"/>
        <w:adjustRightInd/>
        <w:snapToGrid/>
        <w:spacing w:line="240" w:lineRule="auto"/>
        <w:ind w:firstLine="620" w:firstLineChars="200"/>
        <w:jc w:val="both"/>
        <w:textAlignment w:val="auto"/>
        <w:outlineLvl w:val="9"/>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pPr>
    </w:p>
    <w:p>
      <w:pPr>
        <w:keepNext w:val="0"/>
        <w:keepLines w:val="0"/>
        <w:pageBreakBefore w:val="0"/>
        <w:tabs>
          <w:tab w:val="center" w:pos="4475"/>
        </w:tabs>
        <w:kinsoku/>
        <w:wordWrap/>
        <w:overflowPunct/>
        <w:topLinePunct w:val="0"/>
        <w:autoSpaceDE/>
        <w:bidi w:val="0"/>
        <w:spacing w:line="240" w:lineRule="auto"/>
        <w:ind w:firstLine="645"/>
        <w:jc w:val="both"/>
        <w:textAlignment w:val="auto"/>
      </w:pPr>
      <w:r>
        <w:rPr>
          <w:rFonts w:hint="eastAsia" w:ascii="黑体" w:hAnsi="宋体" w:eastAsia="黑体" w:cs="黑体"/>
          <w:sz w:val="31"/>
          <w:szCs w:val="31"/>
          <w:shd w:val="clear" w:color="auto" w:fill="FFFFFF"/>
        </w:rPr>
        <w:t>第三部分：名词解释</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仿宋_GB2312" w:hAnsi="微软雅黑" w:eastAsia="仿宋_GB2312" w:cs="仿宋_GB2312"/>
          <w:sz w:val="31"/>
          <w:szCs w:val="31"/>
          <w:shd w:val="clear" w:color="auto" w:fill="FFFFFF"/>
        </w:rPr>
        <w:t>一、基本支出：指为保障机构正常运转、完成日常工作任务而发生的人员支出和定额公用支出。</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仿宋_GB2312" w:hAnsi="微软雅黑" w:eastAsia="仿宋_GB2312" w:cs="仿宋_GB2312"/>
          <w:sz w:val="31"/>
          <w:szCs w:val="31"/>
          <w:shd w:val="clear" w:color="auto" w:fill="FFFFFF"/>
        </w:rPr>
        <w:t>二、项目支出：指在基本支出之外为完成特定行政任务和事业发展目标所发生的支出。</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rPr>
          <w:rFonts w:eastAsia="仿宋_GB2312"/>
        </w:rPr>
      </w:pPr>
      <w:r>
        <w:rPr>
          <w:rFonts w:hint="eastAsia" w:ascii="仿宋_GB2312" w:hAnsi="微软雅黑" w:eastAsia="仿宋_GB2312" w:cs="仿宋_GB2312"/>
          <w:sz w:val="31"/>
          <w:szCs w:val="31"/>
          <w:shd w:val="clear" w:color="auto" w:fill="FFFFFF"/>
        </w:rPr>
        <w:t>三、“三公两费”经费：纳入自治区财政预决算管理的“三公”经费，是指自治区本级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仿宋_GB2312" w:hAnsi="微软雅黑" w:eastAsia="仿宋_GB2312" w:cs="仿宋_GB2312"/>
          <w:sz w:val="31"/>
          <w:szCs w:val="31"/>
          <w:shd w:val="clear" w:color="auto" w:fill="FFFFFF"/>
        </w:rPr>
        <w:t>四、特别业务：公安机关开展特别业务工作的相关支出。</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黑体" w:hAnsi="宋体" w:eastAsia="黑体" w:cs="黑体"/>
          <w:sz w:val="31"/>
          <w:szCs w:val="31"/>
          <w:shd w:val="clear" w:color="auto" w:fill="FFFFFF"/>
        </w:rPr>
        <w:t>第四部分：自治区公安厅森林公安直属一分局</w:t>
      </w:r>
      <w:r>
        <w:rPr>
          <w:rFonts w:hint="eastAsia" w:ascii="黑体" w:hAnsi="宋体" w:eastAsia="黑体" w:cs="黑体"/>
          <w:sz w:val="31"/>
          <w:szCs w:val="31"/>
          <w:shd w:val="clear" w:color="auto" w:fill="FFFFFF"/>
          <w:lang w:eastAsia="zh-CN"/>
        </w:rPr>
        <w:t>高峰</w:t>
      </w:r>
      <w:r>
        <w:rPr>
          <w:rFonts w:hint="eastAsia" w:ascii="黑体" w:hAnsi="宋体" w:eastAsia="黑体" w:cs="黑体"/>
          <w:sz w:val="31"/>
          <w:szCs w:val="31"/>
          <w:shd w:val="clear" w:color="auto" w:fill="FFFFFF"/>
        </w:rPr>
        <w:t>派出所202</w:t>
      </w:r>
      <w:r>
        <w:rPr>
          <w:rFonts w:hint="eastAsia" w:ascii="黑体" w:hAnsi="宋体" w:eastAsia="黑体" w:cs="黑体"/>
          <w:sz w:val="31"/>
          <w:szCs w:val="31"/>
          <w:shd w:val="clear" w:color="auto" w:fill="FFFFFF"/>
          <w:lang w:val="en-US" w:eastAsia="zh-CN"/>
        </w:rPr>
        <w:t>5</w:t>
      </w:r>
      <w:r>
        <w:rPr>
          <w:rFonts w:hint="eastAsia" w:ascii="黑体" w:hAnsi="宋体" w:eastAsia="黑体" w:cs="黑体"/>
          <w:sz w:val="31"/>
          <w:szCs w:val="31"/>
          <w:shd w:val="clear" w:color="auto" w:fill="FFFFFF"/>
        </w:rPr>
        <w:t>年单位预算报表</w:t>
      </w:r>
    </w:p>
    <w:p>
      <w:pPr>
        <w:pStyle w:val="4"/>
        <w:keepNext w:val="0"/>
        <w:keepLines w:val="0"/>
        <w:pageBreakBefore w:val="0"/>
        <w:widowControl/>
        <w:kinsoku/>
        <w:wordWrap/>
        <w:overflowPunct/>
        <w:topLinePunct w:val="0"/>
        <w:autoSpaceDE/>
        <w:bidi w:val="0"/>
        <w:spacing w:beforeAutospacing="0" w:afterAutospacing="0" w:line="240" w:lineRule="auto"/>
        <w:ind w:firstLine="645"/>
        <w:jc w:val="both"/>
        <w:textAlignment w:val="auto"/>
      </w:pPr>
      <w:r>
        <w:rPr>
          <w:rFonts w:hint="eastAsia" w:ascii="仿宋_GB2312" w:hAnsi="微软雅黑" w:eastAsia="仿宋_GB2312" w:cs="仿宋_GB2312"/>
          <w:sz w:val="31"/>
          <w:szCs w:val="31"/>
          <w:shd w:val="clear" w:color="auto" w:fill="FFFFFF"/>
        </w:rPr>
        <w:t>详见附表</w:t>
      </w:r>
    </w:p>
    <w:p>
      <w:pPr>
        <w:keepNext w:val="0"/>
        <w:keepLines w:val="0"/>
        <w:pageBreakBefore w:val="0"/>
        <w:kinsoku/>
        <w:wordWrap/>
        <w:overflowPunct/>
        <w:topLinePunct w:val="0"/>
        <w:autoSpaceDE/>
        <w:autoSpaceDN/>
        <w:bidi w:val="0"/>
        <w:spacing w:line="240" w:lineRule="auto"/>
        <w:ind w:firstLine="406" w:firstLineChars="113"/>
        <w:jc w:val="both"/>
        <w:textAlignment w:val="auto"/>
        <w:rPr>
          <w:rFonts w:ascii="仿宋_GB2312" w:hAnsi="仿宋_GB2312" w:eastAsia="仿宋_GB2312" w:cs="仿宋_GB2312"/>
          <w:color w:val="FF0000"/>
          <w:sz w:val="36"/>
          <w:szCs w:val="44"/>
        </w:rPr>
      </w:pPr>
    </w:p>
    <w:p>
      <w:pPr>
        <w:keepNext w:val="0"/>
        <w:keepLines w:val="0"/>
        <w:pageBreakBefore w:val="0"/>
        <w:kinsoku/>
        <w:wordWrap/>
        <w:overflowPunct/>
        <w:topLinePunct w:val="0"/>
        <w:autoSpaceDE/>
        <w:bidi w:val="0"/>
        <w:spacing w:line="240" w:lineRule="auto"/>
        <w:textAlignment w:val="auto"/>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&#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6pebnPAAAABQEAAA8AAAAAAAAAAQAgAAAAIgAAAGRy&#10;cy9kb3ducmV2LnhtbFBLAQIUABQAAAAIAIdO4kAIYsxlnAEAAEQDAAAOAAAAAAAAAAEAIAAAAB4B&#10;AABkcnMvZTJvRG9jLnhtbFBLBQYAAAAABgAGAFkBAAAs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6054"/>
    <w:multiLevelType w:val="singleLevel"/>
    <w:tmpl w:val="1762605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86F33"/>
    <w:rsid w:val="4600670D"/>
    <w:rsid w:val="5789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Administrator.BF-20231007PUYP</dc:creator>
  <cp:lastModifiedBy>Administrator</cp:lastModifiedBy>
  <dcterms:modified xsi:type="dcterms:W3CDTF">2025-01-26T02:07:45Z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