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宋体" w:hAnsi="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olor w:val="000000" w:themeColor="text1"/>
          <w:sz w:val="44"/>
          <w:szCs w:val="44"/>
          <w:lang w:eastAsia="zh-CN"/>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广西壮族自治区</w:t>
      </w:r>
      <w:r>
        <w:rPr>
          <w:rFonts w:hint="eastAsia" w:ascii="方正小标宋简体" w:hAnsi="宋体" w:eastAsia="方正小标宋简体"/>
          <w:color w:val="000000" w:themeColor="text1"/>
          <w:sz w:val="44"/>
          <w:szCs w:val="44"/>
          <w:lang w:eastAsia="zh-CN"/>
          <w14:textFill>
            <w14:solidFill>
              <w14:schemeClr w14:val="tx1"/>
            </w14:solidFill>
          </w14:textFill>
        </w:rPr>
        <w:t>公安厅机关服务中心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2025</w:t>
      </w:r>
      <w:r>
        <w:rPr>
          <w:rFonts w:hint="eastAsia" w:ascii="方正小标宋简体" w:hAnsi="宋体" w:eastAsia="方正小标宋简体"/>
          <w:color w:val="000000" w:themeColor="text1"/>
          <w:sz w:val="44"/>
          <w:szCs w:val="44"/>
          <w14:textFill>
            <w14:solidFill>
              <w14:schemeClr w14:val="tx1"/>
            </w14:solidFill>
          </w14:textFill>
        </w:rPr>
        <w:t>年</w:t>
      </w:r>
      <w:r>
        <w:rPr>
          <w:rFonts w:hint="eastAsia" w:ascii="方正小标宋简体" w:hAnsi="宋体" w:eastAsia="方正小标宋简体"/>
          <w:color w:val="000000" w:themeColor="text1"/>
          <w:sz w:val="44"/>
          <w:szCs w:val="44"/>
          <w:lang w:eastAsia="zh-CN"/>
          <w14:textFill>
            <w14:solidFill>
              <w14:schemeClr w14:val="tx1"/>
            </w14:solidFill>
          </w14:textFill>
        </w:rPr>
        <w:t>单位</w:t>
      </w:r>
      <w:r>
        <w:rPr>
          <w:rFonts w:hint="eastAsia" w:ascii="方正小标宋简体" w:hAnsi="宋体" w:eastAsia="方正小标宋简体"/>
          <w:color w:val="000000" w:themeColor="text1"/>
          <w:sz w:val="44"/>
          <w:szCs w:val="44"/>
          <w14:textFill>
            <w14:solidFill>
              <w14:schemeClr w14:val="tx1"/>
            </w14:solidFill>
          </w14:textFill>
        </w:rPr>
        <w:t>预算</w:t>
      </w:r>
      <w:r>
        <w:rPr>
          <w:rFonts w:hint="eastAsia" w:ascii="方正小标宋简体" w:hAnsi="宋体" w:eastAsia="方正小标宋简体"/>
          <w:color w:val="000000" w:themeColor="text1"/>
          <w:sz w:val="44"/>
          <w:szCs w:val="44"/>
          <w:lang w:eastAsia="zh-CN"/>
          <w14:textFill>
            <w14:solidFill>
              <w14:schemeClr w14:val="tx1"/>
            </w14:solidFill>
          </w14:textFill>
        </w:rPr>
        <w:t>公开说明</w:t>
      </w:r>
    </w:p>
    <w:p>
      <w:pPr>
        <w:spacing w:line="600" w:lineRule="exact"/>
        <w:ind w:firstLine="645"/>
        <w:rPr>
          <w:rFonts w:hint="eastAsia" w:ascii="黑体" w:eastAsia="黑体"/>
          <w:b/>
          <w:color w:val="000000" w:themeColor="text1"/>
          <w:sz w:val="32"/>
          <w:szCs w:val="32"/>
          <w14:textFill>
            <w14:solidFill>
              <w14:schemeClr w14:val="tx1"/>
            </w14:solidFill>
          </w14:textFill>
        </w:rPr>
      </w:pPr>
    </w:p>
    <w:p>
      <w:pPr>
        <w:jc w:val="center"/>
        <w:rPr>
          <w:rFonts w:hint="eastAsia"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目    录</w:t>
      </w:r>
    </w:p>
    <w:p>
      <w:pPr>
        <w:ind w:firstLine="645"/>
        <w:rPr>
          <w:rFonts w:hint="eastAsia" w:ascii="仿宋_GB2312" w:eastAsia="仿宋_GB2312"/>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第一部分：</w:t>
      </w:r>
      <w:r>
        <w:rPr>
          <w:rFonts w:hint="eastAsia" w:ascii="黑体" w:eastAsia="黑体"/>
          <w:b/>
          <w:color w:val="000000" w:themeColor="text1"/>
          <w:sz w:val="32"/>
          <w:szCs w:val="32"/>
          <w:highlight w:val="none"/>
          <w:lang w:eastAsia="zh-CN"/>
          <w14:textFill>
            <w14:solidFill>
              <w14:schemeClr w14:val="tx1"/>
            </w14:solidFill>
          </w14:textFill>
        </w:rPr>
        <w:t>单位</w:t>
      </w:r>
      <w:r>
        <w:rPr>
          <w:rFonts w:hint="eastAsia" w:ascii="黑体" w:eastAsia="黑体"/>
          <w:b/>
          <w:color w:val="000000" w:themeColor="text1"/>
          <w:sz w:val="32"/>
          <w:szCs w:val="32"/>
          <w:highlight w:val="none"/>
          <w14:textFill>
            <w14:solidFill>
              <w14:schemeClr w14:val="tx1"/>
            </w14:solidFill>
          </w14:textFill>
        </w:rPr>
        <w:t>概况</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一、主要职能</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二、机构</w:t>
      </w:r>
      <w:r>
        <w:rPr>
          <w:rFonts w:ascii="宋体" w:hAnsi="宋体" w:eastAsia="仿宋_GB2312"/>
          <w:color w:val="000000" w:themeColor="text1"/>
          <w:sz w:val="32"/>
          <w:szCs w:val="32"/>
          <w:highlight w:val="none"/>
          <w14:textFill>
            <w14:solidFill>
              <w14:schemeClr w14:val="tx1"/>
            </w14:solidFill>
          </w14:textFill>
        </w:rPr>
        <w:t>设</w:t>
      </w:r>
      <w:r>
        <w:rPr>
          <w:rFonts w:hint="eastAsia" w:ascii="宋体" w:hAnsi="宋体" w:eastAsia="仿宋_GB2312"/>
          <w:color w:val="000000" w:themeColor="text1"/>
          <w:sz w:val="32"/>
          <w:szCs w:val="32"/>
          <w:highlight w:val="none"/>
          <w14:textFill>
            <w14:solidFill>
              <w14:schemeClr w14:val="tx1"/>
            </w14:solidFill>
          </w14:textFill>
        </w:rPr>
        <w:t>置</w:t>
      </w:r>
      <w:r>
        <w:rPr>
          <w:rFonts w:ascii="宋体" w:hAnsi="宋体" w:eastAsia="仿宋_GB2312"/>
          <w:color w:val="000000" w:themeColor="text1"/>
          <w:sz w:val="32"/>
          <w:szCs w:val="32"/>
          <w:highlight w:val="none"/>
          <w14:textFill>
            <w14:solidFill>
              <w14:schemeClr w14:val="tx1"/>
            </w14:solidFill>
          </w14:textFill>
        </w:rPr>
        <w:t>情况</w:t>
      </w:r>
    </w:p>
    <w:p>
      <w:pPr>
        <w:keepNext w:val="0"/>
        <w:keepLines w:val="0"/>
        <w:pageBreakBefore w:val="0"/>
        <w:widowControl w:val="0"/>
        <w:tabs>
          <w:tab w:val="center" w:pos="4475"/>
        </w:tabs>
        <w:kinsoku/>
        <w:wordWrap/>
        <w:overflowPunct/>
        <w:topLinePunct w:val="0"/>
        <w:autoSpaceDE/>
        <w:autoSpaceDN/>
        <w:bidi w:val="0"/>
        <w:adjustRightInd/>
        <w:snapToGrid/>
        <w:spacing w:line="240" w:lineRule="auto"/>
        <w:ind w:left="2069" w:leftChars="305" w:hanging="1429" w:hangingChars="445"/>
        <w:textAlignment w:val="auto"/>
        <w:rPr>
          <w:rFonts w:hint="eastAsia" w:ascii="黑体" w:eastAsia="黑体"/>
          <w:b/>
          <w:color w:val="000000" w:themeColor="text1"/>
          <w:kern w:val="0"/>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第二部分：</w:t>
      </w:r>
      <w:r>
        <w:rPr>
          <w:rFonts w:hint="eastAsia" w:ascii="黑体" w:eastAsia="黑体"/>
          <w:b/>
          <w:color w:val="000000" w:themeColor="text1"/>
          <w:kern w:val="0"/>
          <w:sz w:val="32"/>
          <w:szCs w:val="32"/>
          <w:highlight w:val="none"/>
          <w:lang w:eastAsia="zh-CN"/>
          <w14:textFill>
            <w14:solidFill>
              <w14:schemeClr w14:val="tx1"/>
            </w14:solidFill>
          </w14:textFill>
        </w:rPr>
        <w:t>广西壮族自治区公安厅机关服务中心</w:t>
      </w:r>
      <w:r>
        <w:rPr>
          <w:rFonts w:hint="eastAsia" w:ascii="黑体" w:eastAsia="黑体"/>
          <w:b/>
          <w:color w:val="000000" w:themeColor="text1"/>
          <w:kern w:val="0"/>
          <w:sz w:val="32"/>
          <w:szCs w:val="32"/>
          <w:highlight w:val="none"/>
          <w:lang w:val="en-US" w:eastAsia="zh-CN"/>
          <w14:textFill>
            <w14:solidFill>
              <w14:schemeClr w14:val="tx1"/>
            </w14:solidFill>
          </w14:textFill>
        </w:rPr>
        <w:t>2025年</w:t>
      </w:r>
      <w:r>
        <w:rPr>
          <w:rFonts w:hint="eastAsia" w:ascii="黑体" w:eastAsia="黑体"/>
          <w:b/>
          <w:color w:val="000000" w:themeColor="text1"/>
          <w:spacing w:val="-20"/>
          <w:kern w:val="0"/>
          <w:sz w:val="32"/>
          <w:szCs w:val="32"/>
          <w:highlight w:val="none"/>
          <w:lang w:eastAsia="zh-CN"/>
          <w14:textFill>
            <w14:solidFill>
              <w14:schemeClr w14:val="tx1"/>
            </w14:solidFill>
          </w14:textFill>
        </w:rPr>
        <w:t>单位</w:t>
      </w:r>
      <w:r>
        <w:rPr>
          <w:rFonts w:hint="eastAsia" w:ascii="黑体" w:eastAsia="黑体"/>
          <w:b/>
          <w:color w:val="000000" w:themeColor="text1"/>
          <w:spacing w:val="-20"/>
          <w:kern w:val="0"/>
          <w:sz w:val="32"/>
          <w:szCs w:val="32"/>
          <w:highlight w:val="none"/>
          <w14:textFill>
            <w14:solidFill>
              <w14:schemeClr w14:val="tx1"/>
            </w14:solidFill>
          </w14:textFill>
        </w:rPr>
        <w:t>预算情</w:t>
      </w:r>
      <w:r>
        <w:rPr>
          <w:rFonts w:ascii="黑体" w:eastAsia="黑体"/>
          <w:b/>
          <w:color w:val="000000" w:themeColor="text1"/>
          <w:spacing w:val="-20"/>
          <w:kern w:val="0"/>
          <w:sz w:val="32"/>
          <w:szCs w:val="32"/>
          <w:highlight w:val="none"/>
          <w14:textFill>
            <w14:solidFill>
              <w14:schemeClr w14:val="tx1"/>
            </w14:solidFill>
          </w14:textFill>
        </w:rPr>
        <w:t>况</w:t>
      </w:r>
      <w:r>
        <w:rPr>
          <w:rFonts w:hint="eastAsia" w:ascii="黑体" w:eastAsia="黑体"/>
          <w:b/>
          <w:color w:val="000000" w:themeColor="text1"/>
          <w:spacing w:val="-20"/>
          <w:kern w:val="0"/>
          <w:sz w:val="32"/>
          <w:szCs w:val="32"/>
          <w:highlight w:val="none"/>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rPr>
        <w:t>收支</w:t>
      </w:r>
      <w:r>
        <w:rPr>
          <w:rFonts w:hint="eastAsia" w:ascii="仿宋_GB2312" w:hAnsi="仿宋_GB2312" w:eastAsia="仿宋_GB2312" w:cs="仿宋_GB2312"/>
          <w:color w:val="auto"/>
          <w:sz w:val="32"/>
          <w:szCs w:val="32"/>
          <w:lang w:eastAsia="zh-CN"/>
        </w:rPr>
        <w:t>增减变化</w:t>
      </w:r>
      <w:r>
        <w:rPr>
          <w:rFonts w:hint="eastAsia" w:ascii="仿宋_GB2312" w:hAnsi="仿宋_GB2312" w:eastAsia="仿宋_GB2312" w:cs="仿宋_GB2312"/>
          <w:color w:val="auto"/>
          <w:sz w:val="32"/>
          <w:szCs w:val="32"/>
        </w:rPr>
        <w:t>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lang w:eastAsia="zh-CN"/>
        </w:rPr>
        <w:t>单位预算收入总体情况说明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lang w:eastAsia="zh-CN"/>
        </w:rPr>
        <w:t>单位预算支出总体情况说明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lang w:eastAsia="zh-CN"/>
        </w:rPr>
        <w:t>政府性基金预算支出情况说明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lang w:eastAsia="zh-CN"/>
        </w:rPr>
        <w:t>国有资本经营预算支出情况说明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w:t>
      </w:r>
      <w:r>
        <w:rPr>
          <w:rFonts w:hint="eastAsia" w:ascii="仿宋_GB2312" w:hAnsi="仿宋_GB2312" w:eastAsia="仿宋_GB2312" w:cs="仿宋_GB2312"/>
          <w:color w:val="auto"/>
          <w:sz w:val="32"/>
          <w:szCs w:val="32"/>
          <w:lang w:eastAsia="zh-CN"/>
        </w:rPr>
        <w:t>一般公共预算“三公”经费支出情况说明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lang w:eastAsia="zh-CN"/>
        </w:rPr>
        <w:t>事业单位相关运行经费安排情况说明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w:t>
      </w:r>
      <w:r>
        <w:rPr>
          <w:rFonts w:hint="eastAsia" w:ascii="仿宋_GB2312" w:hAnsi="仿宋_GB2312" w:eastAsia="仿宋_GB2312" w:cs="仿宋_GB2312"/>
          <w:color w:val="auto"/>
          <w:sz w:val="32"/>
          <w:szCs w:val="32"/>
          <w:lang w:eastAsia="zh-CN"/>
        </w:rPr>
        <w:t>政府采购预算安排情况说明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32"/>
          <w:lang w:eastAsia="zh-CN"/>
        </w:rPr>
        <w:t>国有资产占用情况说明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eastAsia="zh-CN"/>
        </w:rPr>
        <w:t>预算绩效目标情况说明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宋体" w:hAnsi="宋体" w:eastAsia="仿宋_GB2312"/>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第三部分：名词</w:t>
      </w:r>
      <w:r>
        <w:rPr>
          <w:rFonts w:ascii="黑体" w:eastAsia="黑体"/>
          <w:b/>
          <w:color w:val="000000" w:themeColor="text1"/>
          <w:sz w:val="32"/>
          <w:szCs w:val="32"/>
          <w:highlight w:val="none"/>
          <w14:textFill>
            <w14:solidFill>
              <w14:schemeClr w14:val="tx1"/>
            </w14:solidFill>
          </w14:textFill>
        </w:rPr>
        <w:t>解释</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第</w:t>
      </w:r>
      <w:r>
        <w:rPr>
          <w:rFonts w:ascii="黑体" w:eastAsia="黑体"/>
          <w:b/>
          <w:color w:val="000000" w:themeColor="text1"/>
          <w:sz w:val="32"/>
          <w:szCs w:val="32"/>
          <w:highlight w:val="none"/>
          <w14:textFill>
            <w14:solidFill>
              <w14:schemeClr w14:val="tx1"/>
            </w14:solidFill>
          </w14:textFill>
        </w:rPr>
        <w:t>四部分</w:t>
      </w:r>
      <w:r>
        <w:rPr>
          <w:rFonts w:hint="eastAsia" w:ascii="黑体" w:eastAsia="黑体"/>
          <w:b/>
          <w:color w:val="000000" w:themeColor="text1"/>
          <w:sz w:val="32"/>
          <w:szCs w:val="32"/>
          <w:highlight w:val="none"/>
          <w14:textFill>
            <w14:solidFill>
              <w14:schemeClr w14:val="tx1"/>
            </w14:solidFill>
          </w14:textFill>
        </w:rPr>
        <w:t>：</w:t>
      </w:r>
      <w:r>
        <w:rPr>
          <w:rFonts w:hint="eastAsia" w:ascii="黑体" w:eastAsia="黑体"/>
          <w:b/>
          <w:color w:val="000000" w:themeColor="text1"/>
          <w:sz w:val="32"/>
          <w:szCs w:val="32"/>
          <w:highlight w:val="none"/>
          <w:lang w:eastAsia="zh-CN"/>
          <w14:textFill>
            <w14:solidFill>
              <w14:schemeClr w14:val="tx1"/>
            </w14:solidFill>
          </w14:textFill>
        </w:rPr>
        <w:t>广西壮族自治区公安厅机关服务中心</w:t>
      </w:r>
      <w:r>
        <w:rPr>
          <w:rFonts w:hint="eastAsia" w:ascii="黑体" w:eastAsia="黑体"/>
          <w:b/>
          <w:color w:val="000000" w:themeColor="text1"/>
          <w:sz w:val="32"/>
          <w:szCs w:val="32"/>
          <w:highlight w:val="none"/>
          <w:lang w:val="en-US" w:eastAsia="zh-CN"/>
          <w14:textFill>
            <w14:solidFill>
              <w14:schemeClr w14:val="tx1"/>
            </w14:solidFill>
          </w14:textFill>
        </w:rPr>
        <w:t>2025年</w:t>
      </w:r>
      <w:r>
        <w:rPr>
          <w:rFonts w:hint="eastAsia" w:ascii="黑体" w:eastAsia="黑体"/>
          <w:b/>
          <w:color w:val="000000" w:themeColor="text1"/>
          <w:sz w:val="32"/>
          <w:szCs w:val="32"/>
          <w:highlight w:val="none"/>
          <w:lang w:eastAsia="zh-CN"/>
          <w14:textFill>
            <w14:solidFill>
              <w14:schemeClr w14:val="tx1"/>
            </w14:solidFill>
          </w14:textFill>
        </w:rPr>
        <w:t>单位</w:t>
      </w:r>
      <w:r>
        <w:rPr>
          <w:rFonts w:hint="eastAsia" w:ascii="黑体" w:eastAsia="黑体"/>
          <w:b/>
          <w:color w:val="000000" w:themeColor="text1"/>
          <w:sz w:val="32"/>
          <w:szCs w:val="32"/>
          <w:highlight w:val="none"/>
          <w14:textFill>
            <w14:solidFill>
              <w14:schemeClr w14:val="tx1"/>
            </w14:solidFill>
          </w14:textFill>
        </w:rPr>
        <w:t>预算报表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表一：</w:t>
      </w:r>
      <w:r>
        <w:rPr>
          <w:rFonts w:hint="eastAsia" w:ascii="宋体" w:hAnsi="宋体" w:eastAsia="仿宋_GB2312"/>
          <w:color w:val="000000" w:themeColor="text1"/>
          <w:sz w:val="32"/>
          <w:szCs w:val="32"/>
          <w:highlight w:val="none"/>
          <w:lang w:eastAsia="zh-CN"/>
          <w14:textFill>
            <w14:solidFill>
              <w14:schemeClr w14:val="tx1"/>
            </w14:solidFill>
          </w14:textFill>
        </w:rPr>
        <w:t>单位</w:t>
      </w:r>
      <w:r>
        <w:rPr>
          <w:rFonts w:hint="eastAsia" w:ascii="宋体" w:hAnsi="宋体" w:eastAsia="仿宋_GB2312"/>
          <w:color w:val="000000" w:themeColor="text1"/>
          <w:sz w:val="32"/>
          <w:szCs w:val="32"/>
          <w:highlight w:val="none"/>
          <w14:textFill>
            <w14:solidFill>
              <w14:schemeClr w14:val="tx1"/>
            </w14:solidFill>
          </w14:textFill>
        </w:rPr>
        <w:t>收支总体情况表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表</w:t>
      </w:r>
      <w:r>
        <w:rPr>
          <w:rFonts w:ascii="宋体" w:hAnsi="宋体" w:eastAsia="仿宋_GB2312"/>
          <w:color w:val="000000" w:themeColor="text1"/>
          <w:sz w:val="32"/>
          <w:szCs w:val="32"/>
          <w:highlight w:val="none"/>
          <w14:textFill>
            <w14:solidFill>
              <w14:schemeClr w14:val="tx1"/>
            </w14:solidFill>
          </w14:textFill>
        </w:rPr>
        <w:t>二</w:t>
      </w:r>
      <w:r>
        <w:rPr>
          <w:rFonts w:hint="eastAsia" w:ascii="宋体" w:hAnsi="宋体" w:eastAsia="仿宋_GB2312"/>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lang w:eastAsia="zh-CN"/>
          <w14:textFill>
            <w14:solidFill>
              <w14:schemeClr w14:val="tx1"/>
            </w14:solidFill>
          </w14:textFill>
        </w:rPr>
        <w:t>单位</w:t>
      </w:r>
      <w:r>
        <w:rPr>
          <w:rFonts w:hint="eastAsia" w:ascii="宋体" w:hAnsi="宋体" w:eastAsia="仿宋_GB2312"/>
          <w:color w:val="000000" w:themeColor="text1"/>
          <w:sz w:val="32"/>
          <w:szCs w:val="32"/>
          <w:highlight w:val="none"/>
          <w14:textFill>
            <w14:solidFill>
              <w14:schemeClr w14:val="tx1"/>
            </w14:solidFill>
          </w14:textFill>
        </w:rPr>
        <w:t>收入总体情况表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表</w:t>
      </w:r>
      <w:r>
        <w:rPr>
          <w:rFonts w:ascii="宋体" w:hAnsi="宋体" w:eastAsia="仿宋_GB2312"/>
          <w:color w:val="000000" w:themeColor="text1"/>
          <w:sz w:val="32"/>
          <w:szCs w:val="32"/>
          <w:highlight w:val="none"/>
          <w14:textFill>
            <w14:solidFill>
              <w14:schemeClr w14:val="tx1"/>
            </w14:solidFill>
          </w14:textFill>
        </w:rPr>
        <w:t>三</w:t>
      </w:r>
      <w:r>
        <w:rPr>
          <w:rFonts w:hint="eastAsia" w:ascii="宋体" w:hAnsi="宋体" w:eastAsia="仿宋_GB2312"/>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lang w:eastAsia="zh-CN"/>
          <w14:textFill>
            <w14:solidFill>
              <w14:schemeClr w14:val="tx1"/>
            </w14:solidFill>
          </w14:textFill>
        </w:rPr>
        <w:t>单位</w:t>
      </w:r>
      <w:r>
        <w:rPr>
          <w:rFonts w:hint="eastAsia" w:ascii="宋体" w:hAnsi="宋体" w:eastAsia="仿宋_GB2312"/>
          <w:color w:val="000000" w:themeColor="text1"/>
          <w:sz w:val="32"/>
          <w:szCs w:val="32"/>
          <w:highlight w:val="none"/>
          <w14:textFill>
            <w14:solidFill>
              <w14:schemeClr w14:val="tx1"/>
            </w14:solidFill>
          </w14:textFill>
        </w:rPr>
        <w:t>支出总体情况表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表四：财政拨款收支总体情况表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表五：一般公共</w:t>
      </w:r>
      <w:r>
        <w:rPr>
          <w:rFonts w:hint="eastAsia" w:ascii="宋体" w:hAnsi="宋体" w:eastAsia="仿宋_GB2312"/>
          <w:color w:val="000000" w:themeColor="text1"/>
          <w:sz w:val="32"/>
          <w:szCs w:val="32"/>
          <w:highlight w:val="none"/>
          <w:lang w:eastAsia="zh-CN"/>
          <w14:textFill>
            <w14:solidFill>
              <w14:schemeClr w14:val="tx1"/>
            </w14:solidFill>
          </w14:textFill>
        </w:rPr>
        <w:t>预算</w:t>
      </w:r>
      <w:r>
        <w:rPr>
          <w:rFonts w:hint="eastAsia" w:ascii="宋体" w:hAnsi="宋体" w:eastAsia="仿宋_GB2312"/>
          <w:color w:val="000000" w:themeColor="text1"/>
          <w:sz w:val="32"/>
          <w:szCs w:val="32"/>
          <w:highlight w:val="none"/>
          <w14:textFill>
            <w14:solidFill>
              <w14:schemeClr w14:val="tx1"/>
            </w14:solidFill>
          </w14:textFill>
        </w:rPr>
        <w:t>支出</w:t>
      </w:r>
      <w:r>
        <w:rPr>
          <w:rFonts w:hint="eastAsia" w:ascii="宋体" w:hAnsi="宋体" w:eastAsia="仿宋_GB2312"/>
          <w:color w:val="000000" w:themeColor="text1"/>
          <w:sz w:val="32"/>
          <w:szCs w:val="32"/>
          <w:highlight w:val="none"/>
          <w:lang w:eastAsia="zh-CN"/>
          <w14:textFill>
            <w14:solidFill>
              <w14:schemeClr w14:val="tx1"/>
            </w14:solidFill>
          </w14:textFill>
        </w:rPr>
        <w:t>情况</w:t>
      </w:r>
      <w:r>
        <w:rPr>
          <w:rFonts w:hint="eastAsia" w:ascii="宋体" w:hAnsi="宋体" w:eastAsia="仿宋_GB2312"/>
          <w:color w:val="000000" w:themeColor="text1"/>
          <w:sz w:val="32"/>
          <w:szCs w:val="32"/>
          <w:highlight w:val="none"/>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表</w:t>
      </w:r>
      <w:r>
        <w:rPr>
          <w:rFonts w:ascii="宋体" w:hAnsi="宋体" w:eastAsia="仿宋_GB2312"/>
          <w:color w:val="000000" w:themeColor="text1"/>
          <w:sz w:val="32"/>
          <w:szCs w:val="32"/>
          <w:highlight w:val="none"/>
          <w14:textFill>
            <w14:solidFill>
              <w14:schemeClr w14:val="tx1"/>
            </w14:solidFill>
          </w14:textFill>
        </w:rPr>
        <w:t>六</w:t>
      </w:r>
      <w:r>
        <w:rPr>
          <w:rFonts w:hint="eastAsia" w:ascii="宋体" w:hAnsi="宋体" w:eastAsia="仿宋_GB2312"/>
          <w:color w:val="000000" w:themeColor="text1"/>
          <w:sz w:val="32"/>
          <w:szCs w:val="32"/>
          <w:highlight w:val="none"/>
          <w14:textFill>
            <w14:solidFill>
              <w14:schemeClr w14:val="tx1"/>
            </w14:solidFill>
          </w14:textFill>
        </w:rPr>
        <w:t>：一般公共预算基</w:t>
      </w:r>
      <w:r>
        <w:rPr>
          <w:rFonts w:ascii="宋体" w:hAnsi="宋体" w:eastAsia="仿宋_GB2312"/>
          <w:color w:val="000000" w:themeColor="text1"/>
          <w:sz w:val="32"/>
          <w:szCs w:val="32"/>
          <w:highlight w:val="none"/>
          <w14:textFill>
            <w14:solidFill>
              <w14:schemeClr w14:val="tx1"/>
            </w14:solidFill>
          </w14:textFill>
        </w:rPr>
        <w:t>本</w:t>
      </w:r>
      <w:r>
        <w:rPr>
          <w:rFonts w:hint="eastAsia" w:ascii="宋体" w:hAnsi="宋体" w:eastAsia="仿宋_GB2312"/>
          <w:color w:val="000000" w:themeColor="text1"/>
          <w:sz w:val="32"/>
          <w:szCs w:val="32"/>
          <w:highlight w:val="none"/>
          <w14:textFill>
            <w14:solidFill>
              <w14:schemeClr w14:val="tx1"/>
            </w14:solidFill>
          </w14:textFill>
        </w:rPr>
        <w:t>支出</w:t>
      </w:r>
      <w:r>
        <w:rPr>
          <w:rFonts w:hint="eastAsia" w:ascii="宋体" w:hAnsi="宋体" w:eastAsia="仿宋_GB2312"/>
          <w:color w:val="000000" w:themeColor="text1"/>
          <w:sz w:val="32"/>
          <w:szCs w:val="32"/>
          <w:highlight w:val="none"/>
          <w:lang w:eastAsia="zh-CN"/>
          <w14:textFill>
            <w14:solidFill>
              <w14:schemeClr w14:val="tx1"/>
            </w14:solidFill>
          </w14:textFill>
        </w:rPr>
        <w:t>情况</w:t>
      </w:r>
      <w:r>
        <w:rPr>
          <w:rFonts w:hint="eastAsia" w:ascii="宋体" w:hAnsi="宋体" w:eastAsia="仿宋_GB2312"/>
          <w:color w:val="000000" w:themeColor="text1"/>
          <w:sz w:val="32"/>
          <w:szCs w:val="32"/>
          <w:highlight w:val="none"/>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表七：财政拨款“三公”经费、会议费和培训费支出情况表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表八：政府性基金预算支出情况表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表</w:t>
      </w:r>
      <w:r>
        <w:rPr>
          <w:rFonts w:hint="eastAsia" w:ascii="宋体" w:hAnsi="宋体" w:eastAsia="仿宋_GB2312"/>
          <w:color w:val="000000" w:themeColor="text1"/>
          <w:sz w:val="32"/>
          <w:szCs w:val="32"/>
          <w:highlight w:val="none"/>
          <w:lang w:eastAsia="zh-CN"/>
          <w14:textFill>
            <w14:solidFill>
              <w14:schemeClr w14:val="tx1"/>
            </w14:solidFill>
          </w14:textFill>
        </w:rPr>
        <w:t>九：</w:t>
      </w:r>
      <w:r>
        <w:rPr>
          <w:rFonts w:hint="eastAsia" w:ascii="宋体" w:hAnsi="宋体" w:eastAsia="仿宋_GB2312"/>
          <w:color w:val="000000" w:themeColor="text1"/>
          <w:sz w:val="32"/>
          <w:szCs w:val="32"/>
          <w:highlight w:val="none"/>
          <w14:textFill>
            <w14:solidFill>
              <w14:schemeClr w14:val="tx1"/>
            </w14:solidFill>
          </w14:textFill>
        </w:rPr>
        <w:t>国有资本经营预算支出情况表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宋体" w:hAnsi="宋体" w:eastAsia="仿宋_GB2312"/>
          <w:color w:val="000000" w:themeColor="text1"/>
          <w:sz w:val="32"/>
          <w:szCs w:val="32"/>
          <w:highlight w:val="none"/>
          <w:lang w:eastAsia="zh-CN"/>
          <w14:textFill>
            <w14:solidFill>
              <w14:schemeClr w14:val="tx1"/>
            </w14:solidFill>
          </w14:textFill>
        </w:rPr>
      </w:pPr>
      <w:r>
        <w:rPr>
          <w:rFonts w:hint="eastAsia" w:ascii="宋体" w:hAnsi="宋体" w:eastAsia="仿宋_GB2312"/>
          <w:color w:val="000000" w:themeColor="text1"/>
          <w:sz w:val="32"/>
          <w:szCs w:val="32"/>
          <w:highlight w:val="none"/>
          <w:lang w:eastAsia="zh-CN"/>
          <w14:textFill>
            <w14:solidFill>
              <w14:schemeClr w14:val="tx1"/>
            </w14:solidFill>
          </w14:textFill>
        </w:rPr>
        <w:t>表十：</w:t>
      </w:r>
      <w:bookmarkStart w:id="0" w:name="_Toc15670"/>
      <w:bookmarkStart w:id="1" w:name="_Toc7621"/>
      <w:bookmarkStart w:id="2" w:name="_Toc24057"/>
      <w:bookmarkStart w:id="3" w:name="_Toc20851"/>
      <w:r>
        <w:rPr>
          <w:rFonts w:hint="eastAsia" w:ascii="宋体" w:hAnsi="宋体" w:eastAsia="仿宋_GB2312"/>
          <w:color w:val="000000" w:themeColor="text1"/>
          <w:sz w:val="32"/>
          <w:szCs w:val="32"/>
          <w:highlight w:val="none"/>
          <w:lang w:eastAsia="zh-CN"/>
          <w14:textFill>
            <w14:solidFill>
              <w14:schemeClr w14:val="tx1"/>
            </w14:solidFill>
          </w14:textFill>
        </w:rPr>
        <w:t>自治区本级项目绩效目标公开表</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宋体" w:hAnsi="宋体" w:eastAsia="仿宋_GB2312"/>
          <w:color w:val="000000" w:themeColor="text1"/>
          <w:sz w:val="32"/>
          <w:szCs w:val="32"/>
          <w:highlight w:val="none"/>
          <w:lang w:eastAsia="zh-CN"/>
          <w14:textFill>
            <w14:solidFill>
              <w14:schemeClr w14:val="tx1"/>
            </w14:solidFill>
          </w14:textFill>
        </w:rPr>
      </w:pPr>
      <w:r>
        <w:rPr>
          <w:rFonts w:hint="eastAsia" w:ascii="宋体" w:hAnsi="宋体" w:eastAsia="仿宋_GB2312"/>
          <w:color w:val="000000" w:themeColor="text1"/>
          <w:sz w:val="32"/>
          <w:szCs w:val="32"/>
          <w:highlight w:val="none"/>
          <w:lang w:eastAsia="zh-CN"/>
          <w14:textFill>
            <w14:solidFill>
              <w14:schemeClr w14:val="tx1"/>
            </w14:solidFill>
          </w14:textFill>
        </w:rPr>
        <w:t>表十一：自治区对下转移支付项目绩效目标公开表</w:t>
      </w:r>
    </w:p>
    <w:p>
      <w:pPr>
        <w:spacing w:line="600" w:lineRule="exact"/>
        <w:outlineLvl w:val="0"/>
        <w:rPr>
          <w:rFonts w:hint="eastAsia" w:asci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bidi w:val="0"/>
        <w:spacing w:line="540" w:lineRule="exact"/>
        <w:ind w:firstLine="640" w:firstLineChars="200"/>
        <w:textAlignment w:val="auto"/>
        <w:outlineLvl w:val="0"/>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第一部分：</w:t>
      </w:r>
      <w:r>
        <w:rPr>
          <w:rFonts w:hint="eastAsia" w:ascii="黑体" w:eastAsia="黑体"/>
          <w:color w:val="000000" w:themeColor="text1"/>
          <w:sz w:val="32"/>
          <w:szCs w:val="32"/>
          <w:lang w:eastAsia="zh-CN"/>
          <w14:textFill>
            <w14:solidFill>
              <w14:schemeClr w14:val="tx1"/>
            </w14:solidFill>
          </w14:textFill>
        </w:rPr>
        <w:t>单位</w:t>
      </w:r>
      <w:r>
        <w:rPr>
          <w:rFonts w:hint="eastAsia" w:ascii="黑体" w:eastAsia="黑体"/>
          <w:color w:val="000000" w:themeColor="text1"/>
          <w:sz w:val="32"/>
          <w:szCs w:val="32"/>
          <w14:textFill>
            <w14:solidFill>
              <w14:schemeClr w14:val="tx1"/>
            </w14:solidFill>
          </w14:textFill>
        </w:rPr>
        <w:t>概况</w:t>
      </w:r>
      <w:bookmarkEnd w:id="0"/>
      <w:bookmarkEnd w:id="1"/>
      <w:bookmarkEnd w:id="2"/>
      <w:bookmarkEnd w:id="3"/>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outlineLvl w:val="1"/>
        <w:rPr>
          <w:rFonts w:ascii="黑体" w:hAnsi="黑体" w:eastAsia="黑体"/>
          <w:color w:val="000000" w:themeColor="text1"/>
          <w:sz w:val="32"/>
          <w:szCs w:val="32"/>
          <w14:textFill>
            <w14:solidFill>
              <w14:schemeClr w14:val="tx1"/>
            </w14:solidFill>
          </w14:textFill>
        </w:rPr>
      </w:pPr>
      <w:bookmarkStart w:id="4" w:name="_Toc22371"/>
      <w:bookmarkStart w:id="5" w:name="_Toc8636"/>
      <w:bookmarkStart w:id="6" w:name="_Toc2819"/>
      <w:r>
        <w:rPr>
          <w:rFonts w:hint="eastAsia" w:ascii="黑体" w:hAnsi="黑体" w:eastAsia="黑体"/>
          <w:color w:val="000000" w:themeColor="text1"/>
          <w:sz w:val="32"/>
          <w:szCs w:val="32"/>
          <w14:textFill>
            <w14:solidFill>
              <w14:schemeClr w14:val="tx1"/>
            </w14:solidFill>
          </w14:textFill>
        </w:rPr>
        <w:t>一、主要职责</w:t>
      </w:r>
      <w:bookmarkEnd w:id="4"/>
      <w:bookmarkEnd w:id="5"/>
      <w:bookmarkEnd w:id="6"/>
    </w:p>
    <w:p>
      <w:pPr>
        <w:keepNext w:val="0"/>
        <w:keepLines w:val="0"/>
        <w:pageBreakBefore w:val="0"/>
        <w:widowControl w:val="0"/>
        <w:kinsoku/>
        <w:wordWrap/>
        <w:overflowPunct/>
        <w:topLinePunct w:val="0"/>
        <w:autoSpaceDE/>
        <w:autoSpaceDN/>
        <w:bidi w:val="0"/>
        <w:spacing w:after="0" w:line="540" w:lineRule="exact"/>
        <w:ind w:right="0" w:righ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广西壮族自治区公安</w:t>
      </w:r>
      <w:r>
        <w:rPr>
          <w:rFonts w:hint="eastAsia" w:ascii="仿宋_GB2312" w:hAnsi="仿宋_GB2312" w:eastAsia="仿宋_GB2312" w:cs="仿宋_GB2312"/>
          <w:color w:val="000000" w:themeColor="text1"/>
          <w:sz w:val="32"/>
          <w:szCs w:val="32"/>
          <w14:textFill>
            <w14:solidFill>
              <w14:schemeClr w14:val="tx1"/>
            </w14:solidFill>
          </w14:textFill>
        </w:rPr>
        <w:t>厅机关服务中心紧紧围绕“负责厅机关行政事务管理及后勤服务保障工作，包括厅机关水电、房屋设施的维护、公有住房管理、厅机关安全保卫、公务用车保障、机关食堂、物业管理等工作”的主要职责，以服务好厅机关为首要目标，在厅机关后勤服务保障工作中主动解决“急难”问题，让厅机关有序高效运转。</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outlineLvl w:val="1"/>
        <w:rPr>
          <w:rFonts w:ascii="黑体" w:hAnsi="黑体" w:eastAsia="黑体"/>
          <w:color w:val="000000" w:themeColor="text1"/>
          <w:sz w:val="32"/>
          <w:szCs w:val="32"/>
          <w14:textFill>
            <w14:solidFill>
              <w14:schemeClr w14:val="tx1"/>
            </w14:solidFill>
          </w14:textFill>
        </w:rPr>
      </w:pPr>
      <w:bookmarkStart w:id="7" w:name="_Toc20516"/>
      <w:bookmarkStart w:id="8" w:name="_Toc24757"/>
      <w:bookmarkStart w:id="9" w:name="_Toc11150"/>
      <w:r>
        <w:rPr>
          <w:rFonts w:hint="eastAsia" w:ascii="黑体" w:hAnsi="黑体" w:eastAsia="黑体"/>
          <w:color w:val="000000" w:themeColor="text1"/>
          <w:sz w:val="32"/>
          <w:szCs w:val="32"/>
          <w14:textFill>
            <w14:solidFill>
              <w14:schemeClr w14:val="tx1"/>
            </w14:solidFill>
          </w14:textFill>
        </w:rPr>
        <w:t>二、</w:t>
      </w:r>
      <w:r>
        <w:rPr>
          <w:rFonts w:hint="eastAsia" w:ascii="黑体" w:hAnsi="黑体" w:eastAsia="黑体"/>
          <w:color w:val="000000" w:themeColor="text1"/>
          <w:sz w:val="32"/>
          <w:szCs w:val="32"/>
          <w:lang w:eastAsia="zh-CN"/>
          <w14:textFill>
            <w14:solidFill>
              <w14:schemeClr w14:val="tx1"/>
            </w14:solidFill>
          </w14:textFill>
        </w:rPr>
        <w:t>单位</w:t>
      </w:r>
      <w:r>
        <w:rPr>
          <w:rFonts w:hint="eastAsia" w:ascii="黑体" w:hAnsi="黑体" w:eastAsia="黑体"/>
          <w:color w:val="000000" w:themeColor="text1"/>
          <w:sz w:val="32"/>
          <w:szCs w:val="32"/>
          <w14:textFill>
            <w14:solidFill>
              <w14:schemeClr w14:val="tx1"/>
            </w14:solidFill>
          </w14:textFill>
        </w:rPr>
        <w:t>机构设置</w:t>
      </w:r>
      <w:bookmarkEnd w:id="7"/>
      <w:bookmarkEnd w:id="8"/>
      <w:bookmarkEnd w:id="9"/>
    </w:p>
    <w:p>
      <w:pPr>
        <w:keepNext w:val="0"/>
        <w:keepLines w:val="0"/>
        <w:pageBreakBefore w:val="0"/>
        <w:widowControl w:val="0"/>
        <w:kinsoku/>
        <w:wordWrap/>
        <w:overflowPunct/>
        <w:topLinePunct w:val="0"/>
        <w:autoSpaceDE/>
        <w:autoSpaceDN/>
        <w:bidi w:val="0"/>
        <w:spacing w:after="0" w:line="540" w:lineRule="exact"/>
        <w:ind w:right="0" w:righ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0" w:name="_Toc19811"/>
      <w:bookmarkStart w:id="11" w:name="_Toc7658"/>
      <w:bookmarkStart w:id="12" w:name="_Toc13392"/>
      <w:r>
        <w:rPr>
          <w:rFonts w:hint="eastAsia" w:ascii="仿宋_GB2312" w:hAnsi="仿宋_GB2312" w:eastAsia="仿宋_GB2312" w:cs="仿宋_GB2312"/>
          <w:color w:val="000000" w:themeColor="text1"/>
          <w:sz w:val="32"/>
          <w:szCs w:val="32"/>
          <w14:textFill>
            <w14:solidFill>
              <w14:schemeClr w14:val="tx1"/>
            </w14:solidFill>
          </w14:textFill>
        </w:rPr>
        <w:t>厅机关服务中心按照警保部管理机构来运行，根据工作实际，内设有机关管理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组</w:t>
      </w:r>
      <w:r>
        <w:rPr>
          <w:rFonts w:hint="eastAsia" w:ascii="仿宋_GB2312" w:hAnsi="仿宋_GB2312" w:eastAsia="仿宋_GB2312" w:cs="仿宋_GB2312"/>
          <w:color w:val="000000" w:themeColor="text1"/>
          <w:sz w:val="32"/>
          <w:szCs w:val="32"/>
          <w14:textFill>
            <w14:solidFill>
              <w14:schemeClr w14:val="tx1"/>
            </w14:solidFill>
          </w14:textFill>
        </w:rPr>
        <w:t>、房产管理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保卫组、公共维修组</w:t>
      </w:r>
      <w:r>
        <w:rPr>
          <w:rFonts w:hint="eastAsia" w:ascii="仿宋_GB2312" w:hAnsi="仿宋_GB2312" w:eastAsia="仿宋_GB2312" w:cs="仿宋_GB2312"/>
          <w:color w:val="000000" w:themeColor="text1"/>
          <w:sz w:val="32"/>
          <w:szCs w:val="32"/>
          <w14:textFill>
            <w14:solidFill>
              <w14:schemeClr w14:val="tx1"/>
            </w14:solidFill>
          </w14:textFill>
        </w:rPr>
        <w:t>、厅车队等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eastAsia="zh-CN"/>
          <w14:textFill>
            <w14:solidFill>
              <w14:schemeClr w14:val="tx1"/>
            </w14:solidFill>
          </w14:textFill>
        </w:rPr>
        <w:t>组</w:t>
      </w:r>
      <w:r>
        <w:rPr>
          <w:rFonts w:hint="eastAsia" w:ascii="仿宋_GB2312" w:hAnsi="仿宋_GB2312" w:eastAsia="仿宋_GB2312" w:cs="仿宋_GB2312"/>
          <w:color w:val="000000" w:themeColor="text1"/>
          <w:sz w:val="32"/>
          <w:szCs w:val="32"/>
          <w14:textFill>
            <w14:solidFill>
              <w14:schemeClr w14:val="tx1"/>
            </w14:solidFill>
          </w14:textFill>
        </w:rPr>
        <w:t>，分别承担综合协调、房产管理、水电管理、维修维护、车辆保障、安全管理、服务保障等后勤服务保障功能。</w:t>
      </w:r>
    </w:p>
    <w:bookmarkEnd w:id="10"/>
    <w:bookmarkEnd w:id="11"/>
    <w:bookmarkEnd w:id="12"/>
    <w:p>
      <w:pPr>
        <w:keepNext w:val="0"/>
        <w:keepLines w:val="0"/>
        <w:pageBreakBefore w:val="0"/>
        <w:widowControl w:val="0"/>
        <w:kinsoku/>
        <w:wordWrap/>
        <w:overflowPunct/>
        <w:topLinePunct w:val="0"/>
        <w:autoSpaceDE/>
        <w:bidi w:val="0"/>
        <w:adjustRightInd w:val="0"/>
        <w:snapToGrid w:val="0"/>
        <w:spacing w:line="540" w:lineRule="exact"/>
        <w:ind w:right="-336" w:rightChars="-160" w:firstLine="640" w:firstLineChars="200"/>
        <w:jc w:val="both"/>
        <w:textAlignment w:val="auto"/>
        <w:outlineLvl w:val="1"/>
        <w:rPr>
          <w:rFonts w:eastAsia="黑体"/>
          <w:color w:val="000000" w:themeColor="text1"/>
          <w:sz w:val="32"/>
          <w:szCs w:val="32"/>
          <w14:textFill>
            <w14:solidFill>
              <w14:schemeClr w14:val="tx1"/>
            </w14:solidFill>
          </w14:textFill>
        </w:rPr>
      </w:pPr>
      <w:bookmarkStart w:id="13" w:name="_Toc26718"/>
      <w:bookmarkStart w:id="14" w:name="_Toc753"/>
      <w:bookmarkStart w:id="15" w:name="_Toc26082"/>
      <w:bookmarkStart w:id="16" w:name="_Toc3952"/>
    </w:p>
    <w:p>
      <w:pPr>
        <w:keepNext w:val="0"/>
        <w:keepLines w:val="0"/>
        <w:pageBreakBefore w:val="0"/>
        <w:widowControl w:val="0"/>
        <w:kinsoku/>
        <w:wordWrap/>
        <w:overflowPunct/>
        <w:topLinePunct w:val="0"/>
        <w:autoSpaceDE/>
        <w:bidi w:val="0"/>
        <w:adjustRightInd w:val="0"/>
        <w:snapToGrid w:val="0"/>
        <w:spacing w:line="540" w:lineRule="exact"/>
        <w:ind w:right="-336" w:rightChars="-160" w:firstLine="640" w:firstLineChars="200"/>
        <w:jc w:val="both"/>
        <w:textAlignment w:val="auto"/>
        <w:outlineLvl w:val="1"/>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第</w:t>
      </w:r>
      <w:r>
        <w:rPr>
          <w:rFonts w:hint="eastAsia" w:eastAsia="黑体"/>
          <w:color w:val="000000" w:themeColor="text1"/>
          <w:sz w:val="32"/>
          <w:szCs w:val="32"/>
          <w14:textFill>
            <w14:solidFill>
              <w14:schemeClr w14:val="tx1"/>
            </w14:solidFill>
          </w14:textFill>
        </w:rPr>
        <w:t>二</w:t>
      </w:r>
      <w:r>
        <w:rPr>
          <w:rFonts w:eastAsia="黑体"/>
          <w:color w:val="000000" w:themeColor="text1"/>
          <w:sz w:val="32"/>
          <w:szCs w:val="32"/>
          <w14:textFill>
            <w14:solidFill>
              <w14:schemeClr w14:val="tx1"/>
            </w14:solidFill>
          </w14:textFill>
        </w:rPr>
        <w:t>部分：</w:t>
      </w:r>
      <w:r>
        <w:rPr>
          <w:rFonts w:hint="eastAsia" w:eastAsia="黑体"/>
          <w:color w:val="000000" w:themeColor="text1"/>
          <w:sz w:val="32"/>
          <w:szCs w:val="32"/>
          <w:lang w:eastAsia="zh-CN"/>
          <w14:textFill>
            <w14:solidFill>
              <w14:schemeClr w14:val="tx1"/>
            </w14:solidFill>
          </w14:textFill>
        </w:rPr>
        <w:t>广西壮族自治区公安厅机关服务中心2025</w:t>
      </w:r>
      <w:r>
        <w:rPr>
          <w:rFonts w:eastAsia="黑体"/>
          <w:color w:val="000000" w:themeColor="text1"/>
          <w:sz w:val="32"/>
          <w:szCs w:val="32"/>
          <w14:textFill>
            <w14:solidFill>
              <w14:schemeClr w14:val="tx1"/>
            </w14:solidFill>
          </w14:textFill>
        </w:rPr>
        <w:t>年</w:t>
      </w:r>
      <w:r>
        <w:rPr>
          <w:rFonts w:hint="eastAsia" w:eastAsia="黑体"/>
          <w:color w:val="000000" w:themeColor="text1"/>
          <w:sz w:val="32"/>
          <w:szCs w:val="32"/>
          <w:lang w:eastAsia="zh-CN"/>
          <w14:textFill>
            <w14:solidFill>
              <w14:schemeClr w14:val="tx1"/>
            </w14:solidFill>
          </w14:textFill>
        </w:rPr>
        <w:t>单位</w:t>
      </w:r>
    </w:p>
    <w:p>
      <w:pPr>
        <w:keepNext w:val="0"/>
        <w:keepLines w:val="0"/>
        <w:pageBreakBefore w:val="0"/>
        <w:widowControl w:val="0"/>
        <w:kinsoku/>
        <w:wordWrap/>
        <w:overflowPunct/>
        <w:topLinePunct w:val="0"/>
        <w:autoSpaceDE/>
        <w:bidi w:val="0"/>
        <w:adjustRightInd w:val="0"/>
        <w:snapToGrid w:val="0"/>
        <w:spacing w:line="540" w:lineRule="exact"/>
        <w:ind w:right="-336" w:rightChars="-160"/>
        <w:jc w:val="both"/>
        <w:textAlignment w:val="auto"/>
        <w:outlineLvl w:val="1"/>
        <w:rPr>
          <w:rFonts w:eastAsia="黑体"/>
          <w:b/>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预算情况说明</w:t>
      </w:r>
      <w:bookmarkEnd w:id="13"/>
      <w:bookmarkEnd w:id="14"/>
      <w:bookmarkEnd w:id="15"/>
      <w:bookmarkEnd w:id="16"/>
    </w:p>
    <w:p>
      <w:pPr>
        <w:keepNext w:val="0"/>
        <w:keepLines w:val="0"/>
        <w:pageBreakBefore w:val="0"/>
        <w:widowControl w:val="0"/>
        <w:kinsoku/>
        <w:wordWrap/>
        <w:overflowPunct/>
        <w:topLinePunct w:val="0"/>
        <w:autoSpaceDE/>
        <w:bidi w:val="0"/>
        <w:spacing w:line="540" w:lineRule="exact"/>
        <w:ind w:firstLine="640" w:firstLineChars="200"/>
        <w:textAlignment w:val="auto"/>
        <w:outlineLvl w:val="1"/>
        <w:rPr>
          <w:rFonts w:hint="eastAsia" w:eastAsia="黑体"/>
          <w:color w:val="000000" w:themeColor="text1"/>
          <w:sz w:val="32"/>
          <w:szCs w:val="32"/>
          <w14:textFill>
            <w14:solidFill>
              <w14:schemeClr w14:val="tx1"/>
            </w14:solidFill>
          </w14:textFill>
        </w:rPr>
      </w:pPr>
      <w:bookmarkStart w:id="17" w:name="_Toc19947"/>
      <w:bookmarkStart w:id="18" w:name="_Toc24353"/>
      <w:bookmarkStart w:id="19" w:name="_Toc16328"/>
      <w:r>
        <w:rPr>
          <w:rFonts w:eastAsia="黑体"/>
          <w:color w:val="000000" w:themeColor="text1"/>
          <w:sz w:val="32"/>
          <w:szCs w:val="32"/>
          <w14:textFill>
            <w14:solidFill>
              <w14:schemeClr w14:val="tx1"/>
            </w14:solidFill>
          </w14:textFill>
        </w:rPr>
        <w:t>一、</w:t>
      </w:r>
      <w:bookmarkEnd w:id="17"/>
      <w:bookmarkEnd w:id="18"/>
      <w:bookmarkEnd w:id="19"/>
      <w:bookmarkStart w:id="20" w:name="_Toc8953"/>
      <w:bookmarkStart w:id="21" w:name="_Toc21196"/>
      <w:bookmarkStart w:id="22" w:name="_Toc10484"/>
      <w:r>
        <w:rPr>
          <w:rFonts w:hint="eastAsia" w:eastAsia="黑体"/>
          <w:color w:val="000000" w:themeColor="text1"/>
          <w:sz w:val="32"/>
          <w:szCs w:val="32"/>
          <w14:textFill>
            <w14:solidFill>
              <w14:schemeClr w14:val="tx1"/>
            </w14:solidFill>
          </w14:textFill>
        </w:rPr>
        <w:t>单位</w:t>
      </w:r>
      <w:r>
        <w:rPr>
          <w:rFonts w:hint="eastAsia" w:eastAsia="黑体"/>
          <w:color w:val="000000" w:themeColor="text1"/>
          <w:sz w:val="32"/>
          <w:szCs w:val="32"/>
          <w:lang w:eastAsia="zh-CN"/>
          <w14:textFill>
            <w14:solidFill>
              <w14:schemeClr w14:val="tx1"/>
            </w14:solidFill>
          </w14:textFill>
        </w:rPr>
        <w:t>预算</w:t>
      </w:r>
      <w:r>
        <w:rPr>
          <w:rFonts w:hint="eastAsia" w:eastAsia="黑体"/>
          <w:color w:val="000000" w:themeColor="text1"/>
          <w:sz w:val="32"/>
          <w:szCs w:val="32"/>
          <w14:textFill>
            <w14:solidFill>
              <w14:schemeClr w14:val="tx1"/>
            </w14:solidFill>
          </w14:textFill>
        </w:rPr>
        <w:t>收支</w:t>
      </w:r>
      <w:r>
        <w:rPr>
          <w:rFonts w:hint="eastAsia" w:eastAsia="黑体"/>
          <w:color w:val="000000" w:themeColor="text1"/>
          <w:sz w:val="32"/>
          <w:szCs w:val="32"/>
          <w:lang w:eastAsia="zh-CN"/>
          <w14:textFill>
            <w14:solidFill>
              <w14:schemeClr w14:val="tx1"/>
            </w14:solidFill>
          </w14:textFill>
        </w:rPr>
        <w:t>增减变化</w:t>
      </w:r>
      <w:r>
        <w:rPr>
          <w:rFonts w:hint="eastAsia" w:eastAsia="黑体"/>
          <w:color w:val="000000" w:themeColor="text1"/>
          <w:sz w:val="32"/>
          <w:szCs w:val="32"/>
          <w14:textFill>
            <w14:solidFill>
              <w14:schemeClr w14:val="tx1"/>
            </w14:solidFill>
          </w14:textFill>
        </w:rPr>
        <w:t>情况说明</w:t>
      </w:r>
    </w:p>
    <w:p>
      <w:pPr>
        <w:keepNext w:val="0"/>
        <w:keepLines w:val="0"/>
        <w:pageBreakBefore w:val="0"/>
        <w:widowControl w:val="0"/>
        <w:kinsoku/>
        <w:wordWrap/>
        <w:overflowPunct/>
        <w:topLinePunct w:val="0"/>
        <w:autoSpaceDE/>
        <w:bidi w:val="0"/>
        <w:spacing w:line="540" w:lineRule="exact"/>
        <w:ind w:firstLine="645"/>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2025</w:t>
      </w:r>
      <w:r>
        <w:rPr>
          <w:rFonts w:hint="eastAsia" w:ascii="仿宋_GB2312" w:hAnsi="宋体" w:eastAsia="仿宋_GB2312"/>
          <w:color w:val="auto"/>
          <w:sz w:val="32"/>
          <w:szCs w:val="32"/>
          <w:highlight w:val="none"/>
        </w:rPr>
        <w:t>年收入总预算</w:t>
      </w:r>
      <w:r>
        <w:rPr>
          <w:rFonts w:hint="eastAsia" w:ascii="仿宋_GB2312" w:hAnsi="宋体" w:eastAsia="仿宋_GB2312"/>
          <w:color w:val="auto"/>
          <w:sz w:val="32"/>
          <w:szCs w:val="32"/>
          <w:highlight w:val="none"/>
          <w:lang w:val="en-US" w:eastAsia="zh-CN"/>
        </w:rPr>
        <w:t>3794.40万元，</w:t>
      </w:r>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132.59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3.38</w:t>
      </w:r>
      <w:r>
        <w:rPr>
          <w:rFonts w:hint="eastAsia" w:ascii="仿宋_GB2312" w:hAnsi="仿宋_GB2312" w:eastAsia="仿宋_GB2312" w:cs="仿宋_GB2312"/>
          <w:color w:val="auto"/>
          <w:sz w:val="32"/>
          <w:szCs w:val="32"/>
        </w:rPr>
        <w:t>%</w:t>
      </w:r>
      <w:r>
        <w:rPr>
          <w:rFonts w:hint="eastAsia" w:ascii="仿宋_GB2312" w:hAnsi="宋体" w:eastAsia="仿宋_GB2312"/>
          <w:color w:val="auto"/>
          <w:sz w:val="32"/>
          <w:szCs w:val="32"/>
          <w:highlight w:val="none"/>
        </w:rPr>
        <w:t>。</w:t>
      </w:r>
    </w:p>
    <w:p>
      <w:pPr>
        <w:keepNext w:val="0"/>
        <w:keepLines w:val="0"/>
        <w:pageBreakBefore w:val="0"/>
        <w:widowControl w:val="0"/>
        <w:kinsoku/>
        <w:wordWrap/>
        <w:overflowPunct/>
        <w:topLinePunct w:val="0"/>
        <w:autoSpaceDE/>
        <w:bidi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highlight w:val="none"/>
          <w:lang w:eastAsia="zh-CN"/>
        </w:rPr>
        <w:t>2025</w:t>
      </w:r>
      <w:r>
        <w:rPr>
          <w:rFonts w:hint="eastAsia" w:ascii="仿宋_GB2312" w:hAnsi="宋体" w:eastAsia="仿宋_GB2312"/>
          <w:color w:val="auto"/>
          <w:sz w:val="32"/>
          <w:szCs w:val="32"/>
          <w:highlight w:val="none"/>
        </w:rPr>
        <w:t>年支出总预算</w:t>
      </w:r>
      <w:r>
        <w:rPr>
          <w:rFonts w:hint="eastAsia" w:ascii="仿宋_GB2312" w:hAnsi="宋体" w:eastAsia="仿宋_GB2312"/>
          <w:color w:val="auto"/>
          <w:sz w:val="32"/>
          <w:szCs w:val="32"/>
          <w:highlight w:val="none"/>
          <w:lang w:val="en-US" w:eastAsia="zh-CN"/>
        </w:rPr>
        <w:t>3794.40</w:t>
      </w:r>
      <w:r>
        <w:rPr>
          <w:rFonts w:hint="eastAsia" w:ascii="仿宋_GB2312" w:hAnsi="宋体" w:eastAsia="仿宋_GB2312"/>
          <w:color w:val="auto"/>
          <w:sz w:val="32"/>
          <w:szCs w:val="32"/>
          <w:highlight w:val="none"/>
        </w:rPr>
        <w:t>万元，</w:t>
      </w:r>
      <w:r>
        <w:rPr>
          <w:rFonts w:hint="eastAsia" w:ascii="仿宋_GB2312" w:hAnsi="仿宋_GB2312" w:eastAsia="仿宋_GB2312" w:cs="仿宋_GB2312"/>
          <w:color w:val="auto"/>
          <w:sz w:val="32"/>
          <w:szCs w:val="32"/>
        </w:rPr>
        <w:t>基本支出</w:t>
      </w:r>
      <w:r>
        <w:rPr>
          <w:rFonts w:hint="eastAsia" w:ascii="仿宋_GB2312" w:hAnsi="仿宋_GB2312" w:eastAsia="仿宋_GB2312" w:cs="仿宋_GB2312"/>
          <w:color w:val="auto"/>
          <w:sz w:val="32"/>
          <w:szCs w:val="32"/>
          <w:lang w:val="en-US" w:eastAsia="zh-CN"/>
        </w:rPr>
        <w:t>583.34万元，</w:t>
      </w:r>
      <w:r>
        <w:rPr>
          <w:rFonts w:hint="eastAsia" w:ascii="仿宋_GB2312" w:hAnsi="仿宋_GB2312" w:eastAsia="仿宋_GB2312" w:cs="仿宋_GB2312"/>
          <w:color w:val="auto"/>
          <w:sz w:val="32"/>
          <w:szCs w:val="32"/>
        </w:rPr>
        <w:t>占支出总预算</w:t>
      </w:r>
      <w:r>
        <w:rPr>
          <w:rFonts w:hint="eastAsia" w:ascii="仿宋_GB2312" w:hAnsi="仿宋_GB2312" w:eastAsia="仿宋_GB2312" w:cs="仿宋_GB2312"/>
          <w:color w:val="auto"/>
          <w:sz w:val="32"/>
          <w:szCs w:val="32"/>
          <w:lang w:val="en-US" w:eastAsia="zh-CN"/>
        </w:rPr>
        <w:t>15.37</w:t>
      </w:r>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26.24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3211.06</w:t>
      </w:r>
      <w:r>
        <w:rPr>
          <w:rFonts w:hint="eastAsia" w:ascii="仿宋_GB2312" w:hAnsi="仿宋_GB2312" w:eastAsia="仿宋_GB2312" w:cs="仿宋_GB2312"/>
          <w:color w:val="auto"/>
          <w:sz w:val="32"/>
          <w:szCs w:val="32"/>
        </w:rPr>
        <w:t>万元，占支出总预算</w:t>
      </w:r>
      <w:r>
        <w:rPr>
          <w:rFonts w:hint="eastAsia" w:ascii="仿宋_GB2312" w:hAnsi="仿宋_GB2312" w:eastAsia="仿宋_GB2312" w:cs="仿宋_GB2312"/>
          <w:color w:val="auto"/>
          <w:sz w:val="32"/>
          <w:szCs w:val="32"/>
          <w:lang w:val="en-US" w:eastAsia="zh-CN"/>
        </w:rPr>
        <w:t>84.63</w:t>
      </w:r>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106.36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3.21</w:t>
      </w:r>
      <w:r>
        <w:rPr>
          <w:rFonts w:hint="eastAsia" w:ascii="仿宋_GB2312" w:hAnsi="仿宋_GB2312" w:eastAsia="仿宋_GB2312" w:cs="仿宋_GB2312"/>
          <w:color w:val="auto"/>
          <w:sz w:val="32"/>
          <w:szCs w:val="32"/>
        </w:rPr>
        <w:t>%</w:t>
      </w:r>
      <w:r>
        <w:rPr>
          <w:rFonts w:hint="eastAsia" w:ascii="仿宋_GB2312" w:hAnsi="宋体"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outlineLvl w:val="1"/>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收入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支出</w:t>
      </w:r>
      <w:r>
        <w:rPr>
          <w:rFonts w:hint="eastAsia" w:ascii="仿宋_GB2312" w:hAnsi="仿宋_GB2312" w:eastAsia="仿宋_GB2312" w:cs="仿宋_GB2312"/>
          <w:b w:val="0"/>
          <w:bCs w:val="0"/>
          <w:color w:val="000000" w:themeColor="text1"/>
          <w:sz w:val="32"/>
          <w:szCs w:val="32"/>
          <w14:textFill>
            <w14:solidFill>
              <w14:schemeClr w14:val="tx1"/>
            </w14:solidFill>
          </w14:textFill>
        </w:rPr>
        <w:t>增减原因的说明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：基本支出减少主要原因是我单位在职人员退休，故人员经费稍减少。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项目支出减少原因主要是压减一般性支出。</w:t>
      </w:r>
    </w:p>
    <w:p>
      <w:pPr>
        <w:keepNext w:val="0"/>
        <w:keepLines w:val="0"/>
        <w:pageBreakBefore w:val="0"/>
        <w:widowControl w:val="0"/>
        <w:kinsoku/>
        <w:wordWrap/>
        <w:overflowPunct/>
        <w:topLinePunct w:val="0"/>
        <w:autoSpaceDE/>
        <w:bidi w:val="0"/>
        <w:spacing w:line="540" w:lineRule="exact"/>
        <w:ind w:firstLine="640" w:firstLineChars="200"/>
        <w:textAlignment w:val="auto"/>
        <w:rPr>
          <w:rFonts w:hint="eastAsia" w:eastAsia="黑体"/>
          <w:color w:val="000000" w:themeColor="text1"/>
          <w:sz w:val="32"/>
          <w:szCs w:val="32"/>
          <w:lang w:eastAsia="zh-CN"/>
          <w14:textFill>
            <w14:solidFill>
              <w14:schemeClr w14:val="tx1"/>
            </w14:solidFill>
          </w14:textFill>
        </w:rPr>
      </w:pPr>
      <w:r>
        <w:rPr>
          <w:rFonts w:eastAsia="黑体"/>
          <w:color w:val="000000" w:themeColor="text1"/>
          <w:sz w:val="32"/>
          <w:szCs w:val="32"/>
          <w14:textFill>
            <w14:solidFill>
              <w14:schemeClr w14:val="tx1"/>
            </w14:solidFill>
          </w14:textFill>
        </w:rPr>
        <w:t>二、</w:t>
      </w:r>
      <w:bookmarkEnd w:id="20"/>
      <w:bookmarkEnd w:id="21"/>
      <w:bookmarkEnd w:id="22"/>
      <w:r>
        <w:rPr>
          <w:rFonts w:hint="eastAsia" w:eastAsia="黑体"/>
          <w:color w:val="000000" w:themeColor="text1"/>
          <w:sz w:val="32"/>
          <w:szCs w:val="32"/>
          <w:lang w:eastAsia="zh-CN"/>
          <w14:textFill>
            <w14:solidFill>
              <w14:schemeClr w14:val="tx1"/>
            </w14:solidFill>
          </w14:textFill>
        </w:rPr>
        <w:t>单位预算收入总体情况说明</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年收入总预算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3794.40</w:t>
      </w:r>
      <w:r>
        <w:rPr>
          <w:rFonts w:hint="eastAsia" w:ascii="仿宋_GB2312" w:hAnsi="仿宋_GB2312" w:eastAsia="仿宋_GB2312" w:cs="仿宋_GB2312"/>
          <w:color w:val="000000" w:themeColor="text1"/>
          <w:sz w:val="32"/>
          <w:szCs w:val="32"/>
          <w14:textFill>
            <w14:solidFill>
              <w14:schemeClr w14:val="tx1"/>
            </w14:solidFill>
          </w14:textFill>
        </w:rPr>
        <w:t>万元，同比</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auto"/>
          <w:sz w:val="32"/>
          <w:szCs w:val="32"/>
          <w:lang w:val="en-US" w:eastAsia="zh-CN"/>
        </w:rPr>
        <w:t>132.59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auto"/>
          <w:sz w:val="32"/>
          <w:szCs w:val="32"/>
          <w:lang w:val="en-US" w:eastAsia="zh-CN"/>
        </w:rPr>
        <w:t>3.38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全部是一般公共预算拨款</w:t>
      </w:r>
      <w:r>
        <w:rPr>
          <w:rFonts w:hint="eastAsia" w:ascii="仿宋_GB2312" w:hAnsi="仿宋_GB2312" w:eastAsia="仿宋_GB2312" w:cs="仿宋_GB2312"/>
          <w:color w:val="000000" w:themeColor="text1"/>
          <w:sz w:val="32"/>
          <w:szCs w:val="32"/>
          <w:lang w:eastAsia="zh-CN"/>
          <w14:textFill>
            <w14:solidFill>
              <w14:schemeClr w14:val="tx1"/>
            </w14:solidFill>
          </w14:textFill>
        </w:rPr>
        <w:t>收入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主要原因是: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基本支出减少主要原因是我单位在职人员退休，故人员经费稍减少。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项目支出减少原因主要是压减一般性支出。</w:t>
      </w:r>
    </w:p>
    <w:p>
      <w:pPr>
        <w:keepNext w:val="0"/>
        <w:keepLines w:val="0"/>
        <w:pageBreakBefore w:val="0"/>
        <w:widowControl w:val="0"/>
        <w:tabs>
          <w:tab w:val="center" w:pos="4475"/>
        </w:tabs>
        <w:kinsoku/>
        <w:wordWrap/>
        <w:overflowPunct/>
        <w:topLinePunct w:val="0"/>
        <w:autoSpaceDE/>
        <w:bidi w:val="0"/>
        <w:spacing w:line="540" w:lineRule="exact"/>
        <w:ind w:firstLine="640" w:firstLineChars="200"/>
        <w:textAlignment w:val="auto"/>
        <w:outlineLvl w:val="1"/>
        <w:rPr>
          <w:rFonts w:hint="eastAsia" w:eastAsia="黑体"/>
          <w:color w:val="000000" w:themeColor="text1"/>
          <w:sz w:val="32"/>
          <w:szCs w:val="32"/>
          <w:lang w:eastAsia="zh-CN"/>
          <w14:textFill>
            <w14:solidFill>
              <w14:schemeClr w14:val="tx1"/>
            </w14:solidFill>
          </w14:textFill>
        </w:rPr>
      </w:pPr>
      <w:bookmarkStart w:id="23" w:name="_Toc15562"/>
      <w:bookmarkStart w:id="24" w:name="_Toc9544"/>
      <w:bookmarkStart w:id="25" w:name="_Toc21245"/>
      <w:r>
        <w:rPr>
          <w:rFonts w:eastAsia="黑体"/>
          <w:color w:val="000000" w:themeColor="text1"/>
          <w:sz w:val="32"/>
          <w:szCs w:val="32"/>
          <w14:textFill>
            <w14:solidFill>
              <w14:schemeClr w14:val="tx1"/>
            </w14:solidFill>
          </w14:textFill>
        </w:rPr>
        <w:t>三、</w:t>
      </w:r>
      <w:bookmarkEnd w:id="23"/>
      <w:bookmarkEnd w:id="24"/>
      <w:bookmarkEnd w:id="25"/>
      <w:r>
        <w:rPr>
          <w:rFonts w:hint="eastAsia" w:eastAsia="黑体"/>
          <w:color w:val="000000" w:themeColor="text1"/>
          <w:sz w:val="32"/>
          <w:szCs w:val="32"/>
          <w:lang w:eastAsia="zh-CN"/>
          <w14:textFill>
            <w14:solidFill>
              <w14:schemeClr w14:val="tx1"/>
            </w14:solidFill>
          </w14:textFill>
        </w:rPr>
        <w:t>单位预算支出总体情况说明</w:t>
      </w:r>
    </w:p>
    <w:p>
      <w:pPr>
        <w:keepNext w:val="0"/>
        <w:keepLines w:val="0"/>
        <w:pageBreakBefore w:val="0"/>
        <w:widowControl w:val="0"/>
        <w:kinsoku/>
        <w:wordWrap/>
        <w:overflowPunct/>
        <w:topLinePunct w:val="0"/>
        <w:autoSpaceDE/>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olor w:val="auto"/>
          <w:sz w:val="32"/>
          <w:szCs w:val="32"/>
          <w:highlight w:val="none"/>
          <w:lang w:eastAsia="zh-CN"/>
        </w:rPr>
        <w:t>2025</w:t>
      </w:r>
      <w:r>
        <w:rPr>
          <w:rFonts w:hint="eastAsia" w:ascii="仿宋_GB2312" w:hAnsi="宋体" w:eastAsia="仿宋_GB2312"/>
          <w:color w:val="auto"/>
          <w:sz w:val="32"/>
          <w:szCs w:val="32"/>
          <w:highlight w:val="none"/>
        </w:rPr>
        <w:t>年支出总预算</w:t>
      </w:r>
      <w:r>
        <w:rPr>
          <w:rFonts w:hint="eastAsia" w:ascii="仿宋_GB2312" w:hAnsi="宋体" w:eastAsia="仿宋_GB2312"/>
          <w:color w:val="auto"/>
          <w:sz w:val="32"/>
          <w:szCs w:val="32"/>
          <w:highlight w:val="none"/>
          <w:lang w:val="en-US" w:eastAsia="zh-CN"/>
        </w:rPr>
        <w:t>3794.40</w:t>
      </w:r>
      <w:r>
        <w:rPr>
          <w:rFonts w:hint="eastAsia" w:ascii="仿宋_GB2312" w:hAnsi="宋体" w:eastAsia="仿宋_GB2312"/>
          <w:color w:val="auto"/>
          <w:sz w:val="32"/>
          <w:szCs w:val="32"/>
          <w:highlight w:val="none"/>
        </w:rPr>
        <w:t>万元，</w:t>
      </w:r>
      <w:r>
        <w:rPr>
          <w:rFonts w:hint="eastAsia" w:ascii="仿宋_GB2312" w:hAnsi="仿宋_GB2312" w:eastAsia="仿宋_GB2312" w:cs="仿宋_GB2312"/>
          <w:color w:val="000000" w:themeColor="text1"/>
          <w:sz w:val="32"/>
          <w:szCs w:val="32"/>
          <w14:textFill>
            <w14:solidFill>
              <w14:schemeClr w14:val="tx1"/>
            </w14:solidFill>
          </w14:textFill>
        </w:rPr>
        <w:t>同比</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auto"/>
          <w:sz w:val="32"/>
          <w:szCs w:val="32"/>
          <w:lang w:val="en-US" w:eastAsia="zh-CN"/>
        </w:rPr>
        <w:t>132.59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auto"/>
          <w:sz w:val="32"/>
          <w:szCs w:val="32"/>
          <w:lang w:val="en-US" w:eastAsia="zh-CN"/>
        </w:rPr>
        <w:t>3.38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全部是一般公共预算</w:t>
      </w:r>
      <w:r>
        <w:rPr>
          <w:rFonts w:hint="eastAsia" w:ascii="仿宋_GB2312" w:hAnsi="仿宋_GB2312" w:eastAsia="仿宋_GB2312" w:cs="仿宋_GB2312"/>
          <w:color w:val="000000" w:themeColor="text1"/>
          <w:sz w:val="32"/>
          <w:szCs w:val="32"/>
          <w:lang w:eastAsia="zh-CN"/>
          <w14:textFill>
            <w14:solidFill>
              <w14:schemeClr w14:val="tx1"/>
            </w14:solidFill>
          </w14:textFill>
        </w:rPr>
        <w:t>支出。其中：</w:t>
      </w:r>
      <w:r>
        <w:rPr>
          <w:rFonts w:hint="eastAsia" w:ascii="仿宋_GB2312" w:hAnsi="仿宋_GB2312" w:eastAsia="仿宋_GB2312" w:cs="仿宋_GB2312"/>
          <w:color w:val="auto"/>
          <w:sz w:val="32"/>
          <w:szCs w:val="32"/>
        </w:rPr>
        <w:t>基本支出</w:t>
      </w:r>
      <w:r>
        <w:rPr>
          <w:rFonts w:hint="eastAsia" w:ascii="仿宋_GB2312" w:hAnsi="仿宋_GB2312" w:eastAsia="仿宋_GB2312" w:cs="仿宋_GB2312"/>
          <w:color w:val="auto"/>
          <w:sz w:val="32"/>
          <w:szCs w:val="32"/>
          <w:lang w:val="en-US" w:eastAsia="zh-CN"/>
        </w:rPr>
        <w:t>583.34万元，</w:t>
      </w:r>
      <w:r>
        <w:rPr>
          <w:rFonts w:hint="eastAsia" w:ascii="仿宋_GB2312" w:hAnsi="仿宋_GB2312" w:eastAsia="仿宋_GB2312" w:cs="仿宋_GB2312"/>
          <w:color w:val="auto"/>
          <w:sz w:val="32"/>
          <w:szCs w:val="32"/>
        </w:rPr>
        <w:t>占支出总预算</w:t>
      </w:r>
      <w:r>
        <w:rPr>
          <w:rFonts w:hint="eastAsia" w:ascii="仿宋_GB2312" w:hAnsi="仿宋_GB2312" w:eastAsia="仿宋_GB2312" w:cs="仿宋_GB2312"/>
          <w:color w:val="auto"/>
          <w:sz w:val="32"/>
          <w:szCs w:val="32"/>
          <w:lang w:val="en-US" w:eastAsia="zh-CN"/>
        </w:rPr>
        <w:t>15.37</w:t>
      </w:r>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26.24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3211.06</w:t>
      </w:r>
      <w:r>
        <w:rPr>
          <w:rFonts w:hint="eastAsia" w:ascii="仿宋_GB2312" w:hAnsi="仿宋_GB2312" w:eastAsia="仿宋_GB2312" w:cs="仿宋_GB2312"/>
          <w:color w:val="auto"/>
          <w:sz w:val="32"/>
          <w:szCs w:val="32"/>
        </w:rPr>
        <w:t>万元，占支出总预算</w:t>
      </w:r>
      <w:r>
        <w:rPr>
          <w:rFonts w:hint="eastAsia" w:ascii="仿宋_GB2312" w:hAnsi="仿宋_GB2312" w:eastAsia="仿宋_GB2312" w:cs="仿宋_GB2312"/>
          <w:color w:val="auto"/>
          <w:sz w:val="32"/>
          <w:szCs w:val="32"/>
          <w:lang w:val="en-US" w:eastAsia="zh-CN"/>
        </w:rPr>
        <w:t>84.63</w:t>
      </w:r>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106.36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3.21</w:t>
      </w:r>
      <w:r>
        <w:rPr>
          <w:rFonts w:hint="eastAsia" w:ascii="仿宋_GB2312" w:hAnsi="仿宋_GB2312" w:eastAsia="仿宋_GB2312" w:cs="仿宋_GB2312"/>
          <w:color w:val="auto"/>
          <w:sz w:val="32"/>
          <w:szCs w:val="32"/>
        </w:rPr>
        <w:t>%</w:t>
      </w:r>
      <w:r>
        <w:rPr>
          <w:rFonts w:hint="eastAsia" w:ascii="仿宋_GB2312" w:hAnsi="宋体"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bidi w:val="0"/>
        <w:spacing w:line="540" w:lineRule="exact"/>
        <w:ind w:firstLine="642" w:firstLineChars="200"/>
        <w:textAlignment w:val="auto"/>
        <w:rPr>
          <w:rFonts w:hint="eastAsia" w:ascii="仿宋_GB2312" w:hAnsi="宋体" w:eastAsia="仿宋_GB2312"/>
          <w:color w:val="000000" w:themeColor="text1"/>
          <w:sz w:val="32"/>
          <w:szCs w:val="32"/>
          <w:highlight w:val="none"/>
          <w14:textFill>
            <w14:solidFill>
              <w14:schemeClr w14:val="tx1"/>
            </w14:solidFill>
          </w14:textFill>
        </w:rPr>
      </w:pPr>
      <w:bookmarkStart w:id="26" w:name="_Toc14184"/>
      <w:bookmarkStart w:id="27" w:name="_Toc21332"/>
      <w:bookmarkStart w:id="28" w:name="_Toc4364"/>
      <w:r>
        <w:rPr>
          <w:rFonts w:hint="eastAsia" w:ascii="仿宋_GB2312" w:hAnsi="宋体" w:eastAsia="仿宋_GB2312"/>
          <w:b/>
          <w:color w:val="000000" w:themeColor="text1"/>
          <w:sz w:val="32"/>
          <w:szCs w:val="32"/>
          <w:highlight w:val="none"/>
          <w14:textFill>
            <w14:solidFill>
              <w14:schemeClr w14:val="tx1"/>
            </w14:solidFill>
          </w14:textFill>
        </w:rPr>
        <w:t>（一）按支出功能分类科目划分</w:t>
      </w:r>
      <w:r>
        <w:rPr>
          <w:rFonts w:hint="eastAsia" w:ascii="仿宋_GB2312" w:hAnsi="宋体" w:eastAsia="仿宋_GB2312"/>
          <w:color w:val="000000" w:themeColor="text1"/>
          <w:sz w:val="32"/>
          <w:szCs w:val="32"/>
          <w:highlight w:val="none"/>
          <w14:textFill>
            <w14:solidFill>
              <w14:schemeClr w14:val="tx1"/>
            </w14:solidFill>
          </w14:textFill>
        </w:rPr>
        <w:t>，共分为</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6</w:t>
      </w:r>
      <w:r>
        <w:rPr>
          <w:rFonts w:hint="eastAsia" w:ascii="仿宋_GB2312" w:hAnsi="宋体" w:eastAsia="仿宋_GB2312"/>
          <w:color w:val="000000" w:themeColor="text1"/>
          <w:sz w:val="32"/>
          <w:szCs w:val="32"/>
          <w:highlight w:val="none"/>
          <w14:textFill>
            <w14:solidFill>
              <w14:schemeClr w14:val="tx1"/>
            </w14:solidFill>
          </w14:textFill>
        </w:rPr>
        <w:t>类，其中：</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2040203</w:t>
      </w:r>
      <w:r>
        <w:rPr>
          <w:rFonts w:hint="eastAsia" w:ascii="仿宋_GB2312" w:hAnsi="仿宋_GB2312" w:eastAsia="仿宋_GB2312" w:cs="仿宋_GB2312"/>
          <w:color w:val="000000" w:themeColor="text1"/>
          <w:sz w:val="32"/>
          <w:szCs w:val="32"/>
          <w:lang w:eastAsia="zh-CN"/>
          <w14:textFill>
            <w14:solidFill>
              <w14:schemeClr w14:val="tx1"/>
            </w14:solidFill>
          </w14:textFill>
        </w:rPr>
        <w:t>机关服务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3670.67</w:t>
      </w:r>
      <w:r>
        <w:rPr>
          <w:rFonts w:hint="eastAsia" w:ascii="仿宋_GB2312" w:hAnsi="仿宋_GB2312" w:eastAsia="仿宋_GB2312" w:cs="仿宋_GB2312"/>
          <w:color w:val="000000" w:themeColor="text1"/>
          <w:sz w:val="32"/>
          <w:szCs w:val="32"/>
          <w14:textFill>
            <w14:solidFill>
              <w14:schemeClr w14:val="tx1"/>
            </w14:solidFill>
          </w14:textFill>
        </w:rPr>
        <w:t>万元，占支出总</w:t>
      </w:r>
      <w:r>
        <w:rPr>
          <w:rFonts w:hint="eastAsia" w:ascii="仿宋_GB2312" w:hAnsi="仿宋_GB2312" w:eastAsia="仿宋_GB2312" w:cs="仿宋_GB2312"/>
          <w:color w:val="000000" w:themeColor="text1"/>
          <w:sz w:val="32"/>
          <w:szCs w:val="32"/>
          <w:lang w:eastAsia="zh-CN"/>
          <w14:textFill>
            <w14:solidFill>
              <w14:schemeClr w14:val="tx1"/>
            </w14:solidFill>
          </w14:textFill>
        </w:rPr>
        <w:t>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96.74</w:t>
      </w:r>
      <w:r>
        <w:rPr>
          <w:rFonts w:hint="eastAsia" w:ascii="仿宋_GB2312" w:hAnsi="仿宋_GB2312" w:eastAsia="仿宋_GB2312" w:cs="仿宋_GB2312"/>
          <w:color w:val="000000" w:themeColor="text1"/>
          <w:sz w:val="32"/>
          <w:szCs w:val="32"/>
          <w14:textFill>
            <w14:solidFill>
              <w14:schemeClr w14:val="tx1"/>
            </w14:solidFill>
          </w14:textFill>
        </w:rPr>
        <w:t>%。同比</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116.67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3.08</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2080502事业单位离退休5.01万元，占支出总预算0.13%，同比增加3.49万元。增加原因：增加两名退休职工。</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2080505机关事业单位基本养老保险缴费支出41.02万元，占支出总预算1.08%，同比减少9.91万元，减少19.46%。</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2080506机关事业单位职业年金缴费支出20.51万元，占支出总预算0.54%，同比减少4.95万元，减少19.44%。</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2101102</w:t>
      </w:r>
      <w:r>
        <w:rPr>
          <w:rFonts w:hint="eastAsia" w:ascii="仿宋_GB2312" w:hAnsi="仿宋_GB2312" w:eastAsia="仿宋_GB2312" w:cs="仿宋_GB2312"/>
          <w:color w:val="000000" w:themeColor="text1"/>
          <w:sz w:val="32"/>
          <w:szCs w:val="32"/>
          <w:lang w:eastAsia="zh-CN"/>
          <w14:textFill>
            <w14:solidFill>
              <w14:schemeClr w14:val="tx1"/>
            </w14:solidFill>
          </w14:textFill>
        </w:rPr>
        <w:t>事业单位医疗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21.82</w:t>
      </w:r>
      <w:r>
        <w:rPr>
          <w:rFonts w:hint="eastAsia" w:ascii="仿宋_GB2312" w:hAnsi="仿宋_GB2312" w:eastAsia="仿宋_GB2312" w:cs="仿宋_GB2312"/>
          <w:color w:val="000000" w:themeColor="text1"/>
          <w:sz w:val="32"/>
          <w:szCs w:val="32"/>
          <w14:textFill>
            <w14:solidFill>
              <w14:schemeClr w14:val="tx1"/>
            </w14:solidFill>
          </w14:textFill>
        </w:rPr>
        <w:t>万元，占支出总预算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0.58</w:t>
      </w:r>
      <w:r>
        <w:rPr>
          <w:rFonts w:hint="eastAsia" w:ascii="仿宋_GB2312" w:hAnsi="仿宋_GB2312" w:eastAsia="仿宋_GB2312" w:cs="仿宋_GB2312"/>
          <w:color w:val="000000" w:themeColor="text1"/>
          <w:sz w:val="32"/>
          <w:szCs w:val="32"/>
          <w14:textFill>
            <w14:solidFill>
              <w14:schemeClr w14:val="tx1"/>
            </w14:solidFill>
          </w14:textFill>
        </w:rPr>
        <w:t>%，同比</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7.35</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2210201</w:t>
      </w:r>
      <w:r>
        <w:rPr>
          <w:rFonts w:hint="eastAsia" w:ascii="仿宋_GB2312" w:hAnsi="仿宋_GB2312" w:eastAsia="仿宋_GB2312" w:cs="仿宋_GB2312"/>
          <w:color w:val="000000" w:themeColor="text1"/>
          <w:sz w:val="32"/>
          <w:szCs w:val="32"/>
          <w14:textFill>
            <w14:solidFill>
              <w14:schemeClr w14:val="tx1"/>
            </w14:solidFill>
          </w14:textFill>
        </w:rPr>
        <w:t>住房</w:t>
      </w:r>
      <w:r>
        <w:rPr>
          <w:rFonts w:hint="eastAsia" w:ascii="仿宋_GB2312" w:hAnsi="仿宋_GB2312" w:eastAsia="仿宋_GB2312" w:cs="仿宋_GB2312"/>
          <w:color w:val="000000" w:themeColor="text1"/>
          <w:sz w:val="32"/>
          <w:szCs w:val="32"/>
          <w:lang w:eastAsia="zh-CN"/>
          <w14:textFill>
            <w14:solidFill>
              <w14:schemeClr w14:val="tx1"/>
            </w14:solidFill>
          </w14:textFill>
        </w:rPr>
        <w:t>公积金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35.38</w:t>
      </w:r>
      <w:r>
        <w:rPr>
          <w:rFonts w:hint="eastAsia" w:ascii="仿宋_GB2312" w:hAnsi="仿宋_GB2312" w:eastAsia="仿宋_GB2312" w:cs="仿宋_GB2312"/>
          <w:color w:val="000000" w:themeColor="text1"/>
          <w:sz w:val="32"/>
          <w:szCs w:val="32"/>
          <w14:textFill>
            <w14:solidFill>
              <w14:schemeClr w14:val="tx1"/>
            </w14:solidFill>
          </w14:textFill>
        </w:rPr>
        <w:t>万元，占支出总预算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0.93</w:t>
      </w:r>
      <w:r>
        <w:rPr>
          <w:rFonts w:hint="eastAsia" w:ascii="仿宋_GB2312" w:hAnsi="仿宋_GB2312" w:eastAsia="仿宋_GB2312" w:cs="仿宋_GB2312"/>
          <w:color w:val="000000" w:themeColor="text1"/>
          <w:sz w:val="32"/>
          <w:szCs w:val="32"/>
          <w14:textFill>
            <w14:solidFill>
              <w14:schemeClr w14:val="tx1"/>
            </w14:solidFill>
          </w14:textFill>
        </w:rPr>
        <w:t>%，同比</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7.38</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outlineLvl w:val="1"/>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减少原因：基本支出减少主要原因是我单位在职人员退休，故人员经费稍减少。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项目支出减少原因主要是压减一般性支出。</w:t>
      </w:r>
    </w:p>
    <w:p>
      <w:pPr>
        <w:keepNext w:val="0"/>
        <w:keepLines w:val="0"/>
        <w:pageBreakBefore w:val="0"/>
        <w:widowControl w:val="0"/>
        <w:kinsoku/>
        <w:wordWrap/>
        <w:overflowPunct/>
        <w:topLinePunct w:val="0"/>
        <w:autoSpaceDE/>
        <w:bidi w:val="0"/>
        <w:spacing w:line="540" w:lineRule="exact"/>
        <w:ind w:firstLine="642" w:firstLineChars="200"/>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（二）按支出结构划分为基本支出和项目支出</w:t>
      </w:r>
    </w:p>
    <w:p>
      <w:pPr>
        <w:keepNext w:val="0"/>
        <w:keepLines w:val="0"/>
        <w:pageBreakBefore w:val="0"/>
        <w:widowControl w:val="0"/>
        <w:kinsoku/>
        <w:wordWrap/>
        <w:overflowPunct/>
        <w:topLinePunct w:val="0"/>
        <w:autoSpaceDE/>
        <w:bidi w:val="0"/>
        <w:spacing w:line="540" w:lineRule="exact"/>
        <w:ind w:firstLine="642" w:firstLineChars="200"/>
        <w:textAlignment w:val="auto"/>
        <w:rPr>
          <w:rFonts w:hint="eastAsia" w:ascii="仿宋_GB2312" w:hAnsi="宋体" w:eastAsia="仿宋_GB2312"/>
          <w:b/>
          <w:bCs/>
          <w:color w:val="000000" w:themeColor="text1"/>
          <w:sz w:val="32"/>
          <w:szCs w:val="32"/>
          <w:highlight w:val="none"/>
          <w14:textFill>
            <w14:solidFill>
              <w14:schemeClr w14:val="tx1"/>
            </w14:solidFill>
          </w14:textFill>
        </w:rPr>
      </w:pPr>
      <w:r>
        <w:rPr>
          <w:rFonts w:hint="eastAsia" w:ascii="仿宋_GB2312" w:hAnsi="宋体" w:eastAsia="仿宋_GB2312"/>
          <w:b/>
          <w:bCs/>
          <w:color w:val="000000" w:themeColor="text1"/>
          <w:sz w:val="32"/>
          <w:szCs w:val="32"/>
          <w:highlight w:val="none"/>
          <w14:textFill>
            <w14:solidFill>
              <w14:schemeClr w14:val="tx1"/>
            </w14:solidFill>
          </w14:textFill>
        </w:rPr>
        <w:t>1</w:t>
      </w:r>
      <w:r>
        <w:rPr>
          <w:rFonts w:hint="eastAsia" w:ascii="仿宋_GB2312" w:hAnsi="宋体" w:eastAsia="仿宋_GB2312"/>
          <w:b/>
          <w:bCs/>
          <w:color w:val="000000" w:themeColor="text1"/>
          <w:sz w:val="32"/>
          <w:szCs w:val="32"/>
          <w:highlight w:val="none"/>
          <w:lang w:eastAsia="zh-CN"/>
          <w14:textFill>
            <w14:solidFill>
              <w14:schemeClr w14:val="tx1"/>
            </w14:solidFill>
          </w14:textFill>
        </w:rPr>
        <w:t>.</w:t>
      </w:r>
      <w:r>
        <w:rPr>
          <w:rFonts w:hint="eastAsia" w:ascii="仿宋_GB2312" w:hAnsi="宋体" w:eastAsia="仿宋_GB2312"/>
          <w:b/>
          <w:bCs/>
          <w:color w:val="000000" w:themeColor="text1"/>
          <w:sz w:val="32"/>
          <w:szCs w:val="32"/>
          <w:highlight w:val="none"/>
          <w14:textFill>
            <w14:solidFill>
              <w14:schemeClr w14:val="tx1"/>
            </w14:solidFill>
          </w14:textFill>
        </w:rPr>
        <w:t>基本支出预算</w:t>
      </w:r>
    </w:p>
    <w:p>
      <w:pPr>
        <w:keepNext w:val="0"/>
        <w:keepLines w:val="0"/>
        <w:pageBreakBefore w:val="0"/>
        <w:widowControl w:val="0"/>
        <w:kinsoku/>
        <w:wordWrap/>
        <w:overflowPunct/>
        <w:topLinePunct w:val="0"/>
        <w:autoSpaceDE/>
        <w:bidi w:val="0"/>
        <w:spacing w:line="540" w:lineRule="exact"/>
        <w:ind w:firstLine="640" w:firstLineChars="200"/>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583.34</w:t>
      </w:r>
      <w:r>
        <w:rPr>
          <w:rFonts w:hint="eastAsia" w:ascii="仿宋_GB2312" w:hAnsi="仿宋_GB2312" w:eastAsia="仿宋_GB2312" w:cs="仿宋_GB2312"/>
          <w:color w:val="000000" w:themeColor="text1"/>
          <w:sz w:val="32"/>
          <w:szCs w:val="32"/>
          <w14:textFill>
            <w14:solidFill>
              <w14:schemeClr w14:val="tx1"/>
            </w14:solidFill>
          </w14:textFill>
        </w:rPr>
        <w:t>万元，占支出总预算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15.37</w:t>
      </w:r>
      <w:r>
        <w:rPr>
          <w:rFonts w:hint="eastAsia" w:ascii="仿宋_GB2312" w:hAnsi="仿宋_GB2312" w:eastAsia="仿宋_GB2312" w:cs="仿宋_GB2312"/>
          <w:color w:val="000000" w:themeColor="text1"/>
          <w:sz w:val="32"/>
          <w:szCs w:val="32"/>
          <w14:textFill>
            <w14:solidFill>
              <w14:schemeClr w14:val="tx1"/>
            </w14:solidFill>
          </w14:textFill>
        </w:rPr>
        <w:t>%，同比</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26.24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按照经济科目分类划分，共分为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3类。</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其中：</w:t>
      </w:r>
    </w:p>
    <w:p>
      <w:pPr>
        <w:keepNext w:val="0"/>
        <w:keepLines w:val="0"/>
        <w:pageBreakBefore w:val="0"/>
        <w:widowControl w:val="0"/>
        <w:kinsoku/>
        <w:wordWrap/>
        <w:overflowPunct/>
        <w:topLinePunct w:val="0"/>
        <w:autoSpaceDE/>
        <w:bidi w:val="0"/>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301</w:t>
      </w:r>
      <w:r>
        <w:rPr>
          <w:rFonts w:hint="eastAsia" w:ascii="仿宋_GB2312" w:hAnsi="仿宋_GB2312" w:eastAsia="仿宋_GB2312" w:cs="仿宋_GB2312"/>
          <w:color w:val="auto"/>
          <w:sz w:val="32"/>
          <w:szCs w:val="32"/>
        </w:rPr>
        <w:t>工资福利支出预算</w:t>
      </w:r>
      <w:r>
        <w:rPr>
          <w:rFonts w:hint="eastAsia" w:ascii="仿宋_GB2312" w:hAnsi="仿宋_GB2312" w:eastAsia="仿宋_GB2312" w:cs="仿宋_GB2312"/>
          <w:color w:val="auto"/>
          <w:sz w:val="32"/>
          <w:szCs w:val="32"/>
          <w:lang w:val="en-US" w:eastAsia="zh-CN"/>
        </w:rPr>
        <w:t>481.56</w:t>
      </w:r>
      <w:r>
        <w:rPr>
          <w:rFonts w:hint="eastAsia" w:ascii="仿宋_GB2312" w:hAnsi="仿宋_GB2312" w:eastAsia="仿宋_GB2312" w:cs="仿宋_GB2312"/>
          <w:color w:val="auto"/>
          <w:sz w:val="32"/>
          <w:szCs w:val="32"/>
        </w:rPr>
        <w:t>万元，占基本支出预算</w:t>
      </w:r>
      <w:r>
        <w:rPr>
          <w:rFonts w:hint="eastAsia" w:ascii="仿宋_GB2312" w:hAnsi="仿宋_GB2312" w:eastAsia="仿宋_GB2312" w:cs="仿宋_GB2312"/>
          <w:color w:val="auto"/>
          <w:sz w:val="32"/>
          <w:szCs w:val="32"/>
          <w:lang w:val="en-US" w:eastAsia="zh-CN"/>
        </w:rPr>
        <w:t>82.55</w:t>
      </w:r>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33.55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6.51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97.70万元、津贴补贴88.22万元、奖金76.09万元、机关事业单位基本养老保险缴费41.02万元、职业年金缴费20.51万元、职工基本医疗保险缴费21.82万元、其他社会保障缴费2.06万元、住房公积金42.34万元、其他工资福利支出91.81万元。</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302</w:t>
      </w:r>
      <w:r>
        <w:rPr>
          <w:rFonts w:hint="eastAsia" w:ascii="仿宋_GB2312" w:hAnsi="仿宋_GB2312" w:eastAsia="仿宋_GB2312" w:cs="仿宋_GB2312"/>
          <w:color w:val="auto"/>
          <w:sz w:val="32"/>
          <w:szCs w:val="32"/>
          <w:highlight w:val="none"/>
        </w:rPr>
        <w:t>商品和服务支出预算</w:t>
      </w:r>
      <w:r>
        <w:rPr>
          <w:rFonts w:hint="eastAsia" w:ascii="仿宋_GB2312" w:hAnsi="仿宋_GB2312" w:eastAsia="仿宋_GB2312" w:cs="仿宋_GB2312"/>
          <w:color w:val="auto"/>
          <w:sz w:val="32"/>
          <w:szCs w:val="32"/>
          <w:lang w:val="en-US" w:eastAsia="zh-CN"/>
        </w:rPr>
        <w:t>82.40</w:t>
      </w:r>
      <w:r>
        <w:rPr>
          <w:rFonts w:hint="eastAsia" w:ascii="仿宋_GB2312" w:hAnsi="仿宋_GB2312" w:eastAsia="仿宋_GB2312" w:cs="仿宋_GB2312"/>
          <w:color w:val="auto"/>
          <w:sz w:val="32"/>
          <w:szCs w:val="32"/>
        </w:rPr>
        <w:t>万元，占基本支出预算</w:t>
      </w:r>
      <w:r>
        <w:rPr>
          <w:rFonts w:hint="eastAsia" w:ascii="仿宋_GB2312" w:hAnsi="仿宋_GB2312" w:eastAsia="仿宋_GB2312" w:cs="仿宋_GB2312"/>
          <w:color w:val="auto"/>
          <w:sz w:val="32"/>
          <w:szCs w:val="32"/>
          <w:lang w:val="en-US" w:eastAsia="zh-CN"/>
        </w:rPr>
        <w:t>14.13</w:t>
      </w:r>
      <w:r>
        <w:rPr>
          <w:rFonts w:hint="eastAsia" w:ascii="仿宋_GB2312" w:hAnsi="仿宋_GB2312" w:eastAsia="仿宋_GB2312" w:cs="仿宋_GB2312"/>
          <w:color w:val="auto"/>
          <w:sz w:val="32"/>
          <w:szCs w:val="32"/>
        </w:rPr>
        <w:t>%，同比增加</w:t>
      </w:r>
      <w:r>
        <w:rPr>
          <w:rFonts w:hint="eastAsia" w:ascii="仿宋_GB2312" w:hAnsi="仿宋_GB2312" w:eastAsia="仿宋_GB2312" w:cs="仿宋_GB2312"/>
          <w:color w:val="auto"/>
          <w:sz w:val="32"/>
          <w:szCs w:val="32"/>
          <w:lang w:val="en-US" w:eastAsia="zh-CN"/>
        </w:rPr>
        <w:t>5.24</w:t>
      </w:r>
      <w:r>
        <w:rPr>
          <w:rFonts w:hint="eastAsia" w:ascii="仿宋_GB2312" w:hAnsi="仿宋_GB2312" w:eastAsia="仿宋_GB2312" w:cs="仿宋_GB2312"/>
          <w:color w:val="auto"/>
          <w:sz w:val="32"/>
          <w:szCs w:val="32"/>
        </w:rPr>
        <w:t>万元，增</w:t>
      </w:r>
      <w:r>
        <w:rPr>
          <w:rFonts w:hint="eastAsia" w:ascii="仿宋_GB2312" w:hAnsi="仿宋_GB2312" w:eastAsia="仿宋_GB2312" w:cs="仿宋_GB2312"/>
          <w:color w:val="auto"/>
          <w:sz w:val="32"/>
          <w:szCs w:val="32"/>
          <w:lang w:eastAsia="zh-CN"/>
        </w:rPr>
        <w:t>长</w:t>
      </w:r>
      <w:r>
        <w:rPr>
          <w:rFonts w:hint="eastAsia" w:ascii="仿宋_GB2312" w:hAnsi="仿宋_GB2312" w:eastAsia="仿宋_GB2312" w:cs="仿宋_GB2312"/>
          <w:color w:val="auto"/>
          <w:sz w:val="32"/>
          <w:szCs w:val="32"/>
          <w:lang w:val="en-US" w:eastAsia="zh-CN"/>
        </w:rPr>
        <w:t>6.79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万元、电费2万元、邮电费2.3万元、差旅费2万元、维修（护）费5万元、会议费2.52万元、培训费0.86万元、公务接待费0.66万元、专用材料费5万元、劳务费6.38万元、委托业务费0.75万元、工会经费5.90万元、福利费2.22万元、公务用车运行维护费8.01万元、其他交通费用18.82万元、其他商品和服务支出9.97万元。</w:t>
      </w:r>
    </w:p>
    <w:p>
      <w:pPr>
        <w:keepNext w:val="0"/>
        <w:keepLines w:val="0"/>
        <w:pageBreakBefore w:val="0"/>
        <w:widowControl w:val="0"/>
        <w:kinsoku/>
        <w:wordWrap/>
        <w:overflowPunct/>
        <w:topLinePunct w:val="0"/>
        <w:autoSpaceDE/>
        <w:bidi w:val="0"/>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303</w:t>
      </w:r>
      <w:r>
        <w:rPr>
          <w:rFonts w:hint="eastAsia" w:ascii="仿宋_GB2312" w:hAnsi="仿宋_GB2312" w:eastAsia="仿宋_GB2312" w:cs="仿宋_GB2312"/>
          <w:color w:val="000000" w:themeColor="text1"/>
          <w:sz w:val="32"/>
          <w:szCs w:val="32"/>
          <w14:textFill>
            <w14:solidFill>
              <w14:schemeClr w14:val="tx1"/>
            </w14:solidFill>
          </w14:textFill>
        </w:rPr>
        <w:t>对个人和家庭的补助预算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19.38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auto"/>
          <w:sz w:val="32"/>
          <w:szCs w:val="32"/>
        </w:rPr>
        <w:t>，占基本支出预算</w:t>
      </w:r>
      <w:r>
        <w:rPr>
          <w:rFonts w:hint="eastAsia" w:ascii="仿宋_GB2312" w:hAnsi="仿宋_GB2312" w:eastAsia="仿宋_GB2312" w:cs="仿宋_GB2312"/>
          <w:color w:val="auto"/>
          <w:sz w:val="32"/>
          <w:szCs w:val="32"/>
          <w:lang w:val="en-US" w:eastAsia="zh-CN"/>
        </w:rPr>
        <w:t>3.32</w:t>
      </w:r>
      <w:r>
        <w:rPr>
          <w:rFonts w:hint="eastAsia" w:ascii="仿宋_GB2312" w:hAnsi="仿宋_GB2312" w:eastAsia="仿宋_GB2312" w:cs="仿宋_GB2312"/>
          <w:color w:val="auto"/>
          <w:sz w:val="32"/>
          <w:szCs w:val="32"/>
        </w:rPr>
        <w:t>%，同比增加</w:t>
      </w:r>
      <w:r>
        <w:rPr>
          <w:rFonts w:hint="eastAsia" w:ascii="仿宋_GB2312" w:hAnsi="仿宋_GB2312" w:eastAsia="仿宋_GB2312" w:cs="仿宋_GB2312"/>
          <w:color w:val="auto"/>
          <w:sz w:val="32"/>
          <w:szCs w:val="32"/>
          <w:lang w:val="en-US" w:eastAsia="zh-CN"/>
        </w:rPr>
        <w:t>2.07</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11.96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退休费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4.64万元、其他对个人和家庭补助14.74万元。</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减少原因：基本支出减少主要原因是我单位在职人员退休，故人员经费稍减少。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项目支出减少原因主要是压减一般性支出。</w:t>
      </w:r>
    </w:p>
    <w:p>
      <w:pPr>
        <w:keepNext w:val="0"/>
        <w:keepLines w:val="0"/>
        <w:pageBreakBefore w:val="0"/>
        <w:widowControl w:val="0"/>
        <w:kinsoku/>
        <w:wordWrap/>
        <w:overflowPunct/>
        <w:topLinePunct w:val="0"/>
        <w:autoSpaceDE/>
        <w:bidi w:val="0"/>
        <w:adjustRightInd w:val="0"/>
        <w:snapToGrid w:val="0"/>
        <w:spacing w:line="540" w:lineRule="exact"/>
        <w:ind w:firstLine="642" w:firstLineChars="200"/>
        <w:textAlignment w:val="auto"/>
        <w:outlineLvl w:val="2"/>
        <w:rPr>
          <w:rFonts w:eastAsia="楷体_GB2312"/>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highlight w:val="none"/>
          <w:lang w:val="en-US" w:eastAsia="zh-CN"/>
          <w14:textFill>
            <w14:solidFill>
              <w14:schemeClr w14:val="tx1"/>
            </w14:solidFill>
          </w14:textFill>
        </w:rPr>
        <w:t>2.</w:t>
      </w:r>
      <w:r>
        <w:rPr>
          <w:rFonts w:hint="eastAsia" w:ascii="仿宋_GB2312" w:hAnsi="宋体" w:eastAsia="仿宋_GB2312"/>
          <w:b/>
          <w:bCs/>
          <w:color w:val="000000" w:themeColor="text1"/>
          <w:sz w:val="32"/>
          <w:szCs w:val="32"/>
          <w:highlight w:val="none"/>
          <w14:textFill>
            <w14:solidFill>
              <w14:schemeClr w14:val="tx1"/>
            </w14:solidFill>
          </w14:textFill>
        </w:rPr>
        <w:t>项目支出预算</w:t>
      </w:r>
    </w:p>
    <w:p>
      <w:pPr>
        <w:keepNext w:val="0"/>
        <w:keepLines w:val="0"/>
        <w:pageBreakBefore w:val="0"/>
        <w:widowControl w:val="0"/>
        <w:kinsoku/>
        <w:wordWrap/>
        <w:overflowPunct/>
        <w:topLinePunct w:val="0"/>
        <w:autoSpaceDE/>
        <w:bidi w:val="0"/>
        <w:spacing w:line="54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3211.06</w:t>
      </w:r>
      <w:r>
        <w:rPr>
          <w:rFonts w:hint="eastAsia" w:ascii="仿宋_GB2312" w:hAnsi="仿宋_GB2312" w:eastAsia="仿宋_GB2312" w:cs="仿宋_GB2312"/>
          <w:color w:val="auto"/>
          <w:sz w:val="32"/>
          <w:szCs w:val="32"/>
        </w:rPr>
        <w:t>万元，占支出总预算</w:t>
      </w:r>
      <w:r>
        <w:rPr>
          <w:rFonts w:hint="eastAsia" w:ascii="仿宋_GB2312" w:hAnsi="仿宋_GB2312" w:eastAsia="仿宋_GB2312" w:cs="仿宋_GB2312"/>
          <w:color w:val="auto"/>
          <w:sz w:val="32"/>
          <w:szCs w:val="32"/>
          <w:lang w:val="en-US" w:eastAsia="zh-CN"/>
        </w:rPr>
        <w:t>84.63</w:t>
      </w:r>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106.36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3.21</w:t>
      </w:r>
      <w:r>
        <w:rPr>
          <w:rFonts w:hint="eastAsia" w:ascii="仿宋_GB2312" w:hAnsi="仿宋_GB2312" w:eastAsia="仿宋_GB2312" w:cs="仿宋_GB2312"/>
          <w:color w:val="auto"/>
          <w:sz w:val="32"/>
          <w:szCs w:val="32"/>
        </w:rPr>
        <w:t>%</w:t>
      </w:r>
      <w:r>
        <w:rPr>
          <w:rFonts w:hint="eastAsia" w:ascii="仿宋_GB2312" w:hAnsi="宋体" w:eastAsia="仿宋_GB2312"/>
          <w:color w:val="auto"/>
          <w:sz w:val="32"/>
          <w:szCs w:val="32"/>
          <w:highlight w:val="none"/>
          <w:lang w:val="en-US"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减少原因主要是压减一般性支出。</w:t>
      </w:r>
    </w:p>
    <w:bookmarkEnd w:id="26"/>
    <w:bookmarkEnd w:id="27"/>
    <w:bookmarkEnd w:id="28"/>
    <w:p>
      <w:pPr>
        <w:keepNext w:val="0"/>
        <w:keepLines w:val="0"/>
        <w:pageBreakBefore w:val="0"/>
        <w:widowControl w:val="0"/>
        <w:tabs>
          <w:tab w:val="center" w:pos="4475"/>
        </w:tabs>
        <w:kinsoku/>
        <w:wordWrap/>
        <w:overflowPunct/>
        <w:topLinePunct w:val="0"/>
        <w:autoSpaceDE/>
        <w:bidi w:val="0"/>
        <w:spacing w:line="540" w:lineRule="exact"/>
        <w:ind w:firstLine="640" w:firstLineChars="200"/>
        <w:textAlignment w:val="auto"/>
        <w:outlineLvl w:val="1"/>
        <w:rPr>
          <w:rFonts w:eastAsia="黑体"/>
          <w:color w:val="000000" w:themeColor="text1"/>
          <w:sz w:val="32"/>
          <w:szCs w:val="32"/>
          <w14:textFill>
            <w14:solidFill>
              <w14:schemeClr w14:val="tx1"/>
            </w14:solidFill>
          </w14:textFill>
        </w:rPr>
      </w:pPr>
      <w:bookmarkStart w:id="29" w:name="_Toc15564"/>
      <w:bookmarkStart w:id="30" w:name="_Toc26905"/>
      <w:bookmarkStart w:id="31" w:name="_Toc16965"/>
      <w:bookmarkStart w:id="32" w:name="_Toc29751"/>
      <w:bookmarkStart w:id="33" w:name="_Toc29389"/>
      <w:bookmarkStart w:id="34" w:name="_Toc12057"/>
      <w:r>
        <w:rPr>
          <w:rFonts w:hint="eastAsia" w:eastAsia="黑体"/>
          <w:color w:val="000000" w:themeColor="text1"/>
          <w:sz w:val="32"/>
          <w:szCs w:val="32"/>
          <w:lang w:eastAsia="zh-CN"/>
          <w14:textFill>
            <w14:solidFill>
              <w14:schemeClr w14:val="tx1"/>
            </w14:solidFill>
          </w14:textFill>
        </w:rPr>
        <w:t>四</w:t>
      </w:r>
      <w:r>
        <w:rPr>
          <w:rFonts w:eastAsia="黑体"/>
          <w:color w:val="000000" w:themeColor="text1"/>
          <w:sz w:val="32"/>
          <w:szCs w:val="32"/>
          <w14:textFill>
            <w14:solidFill>
              <w14:schemeClr w14:val="tx1"/>
            </w14:solidFill>
          </w14:textFill>
        </w:rPr>
        <w:t>、</w:t>
      </w:r>
      <w:bookmarkEnd w:id="29"/>
      <w:bookmarkEnd w:id="30"/>
      <w:bookmarkEnd w:id="31"/>
      <w:r>
        <w:rPr>
          <w:rFonts w:hint="eastAsia" w:eastAsia="黑体"/>
          <w:color w:val="000000" w:themeColor="text1"/>
          <w:sz w:val="32"/>
          <w:szCs w:val="32"/>
          <w:lang w:eastAsia="zh-CN"/>
          <w14:textFill>
            <w14:solidFill>
              <w14:schemeClr w14:val="tx1"/>
            </w14:solidFill>
          </w14:textFill>
        </w:rPr>
        <w:t>政府性基金预算支出情况说明</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我单位2025年无政府性基金预算。</w:t>
      </w:r>
    </w:p>
    <w:p>
      <w:pPr>
        <w:keepNext w:val="0"/>
        <w:keepLines w:val="0"/>
        <w:pageBreakBefore w:val="0"/>
        <w:widowControl w:val="0"/>
        <w:tabs>
          <w:tab w:val="center" w:pos="4475"/>
        </w:tabs>
        <w:kinsoku/>
        <w:wordWrap/>
        <w:overflowPunct/>
        <w:topLinePunct w:val="0"/>
        <w:autoSpaceDE/>
        <w:bidi w:val="0"/>
        <w:spacing w:line="540" w:lineRule="exact"/>
        <w:ind w:firstLine="640" w:firstLineChars="200"/>
        <w:textAlignment w:val="auto"/>
        <w:outlineLvl w:val="1"/>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五</w:t>
      </w:r>
      <w:r>
        <w:rPr>
          <w:rFonts w:eastAsia="黑体"/>
          <w:color w:val="000000" w:themeColor="text1"/>
          <w:sz w:val="32"/>
          <w:szCs w:val="32"/>
          <w14:textFill>
            <w14:solidFill>
              <w14:schemeClr w14:val="tx1"/>
            </w14:solidFill>
          </w14:textFill>
        </w:rPr>
        <w:t>、</w:t>
      </w:r>
      <w:r>
        <w:rPr>
          <w:rFonts w:hint="eastAsia" w:eastAsia="黑体"/>
          <w:color w:val="000000" w:themeColor="text1"/>
          <w:sz w:val="32"/>
          <w:szCs w:val="32"/>
          <w:lang w:eastAsia="zh-CN"/>
          <w14:textFill>
            <w14:solidFill>
              <w14:schemeClr w14:val="tx1"/>
            </w14:solidFill>
          </w14:textFill>
        </w:rPr>
        <w:t>国有资本经营预算支出情况说明</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我单位202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年无国有资本经营预算。</w:t>
      </w:r>
    </w:p>
    <w:p>
      <w:pPr>
        <w:keepNext w:val="0"/>
        <w:keepLines w:val="0"/>
        <w:pageBreakBefore w:val="0"/>
        <w:widowControl w:val="0"/>
        <w:tabs>
          <w:tab w:val="center" w:pos="4475"/>
        </w:tabs>
        <w:kinsoku/>
        <w:wordWrap/>
        <w:overflowPunct/>
        <w:topLinePunct w:val="0"/>
        <w:autoSpaceDE/>
        <w:bidi w:val="0"/>
        <w:spacing w:line="540" w:lineRule="exact"/>
        <w:ind w:firstLine="640" w:firstLineChars="200"/>
        <w:textAlignment w:val="auto"/>
        <w:outlineLvl w:val="1"/>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六</w:t>
      </w:r>
      <w:r>
        <w:rPr>
          <w:rFonts w:eastAsia="黑体"/>
          <w:color w:val="000000" w:themeColor="text1"/>
          <w:sz w:val="32"/>
          <w:szCs w:val="32"/>
          <w14:textFill>
            <w14:solidFill>
              <w14:schemeClr w14:val="tx1"/>
            </w14:solidFill>
          </w14:textFill>
        </w:rPr>
        <w:t>、</w:t>
      </w:r>
      <w:bookmarkEnd w:id="32"/>
      <w:bookmarkEnd w:id="33"/>
      <w:bookmarkEnd w:id="34"/>
      <w:r>
        <w:rPr>
          <w:rFonts w:hint="eastAsia" w:eastAsia="黑体"/>
          <w:color w:val="000000" w:themeColor="text1"/>
          <w:sz w:val="32"/>
          <w:szCs w:val="32"/>
          <w:lang w:eastAsia="zh-CN"/>
          <w14:textFill>
            <w14:solidFill>
              <w14:schemeClr w14:val="tx1"/>
            </w14:solidFill>
          </w14:textFill>
        </w:rPr>
        <w:t>一般公共预算“三公”经费支出情况说明</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年一般公共预算安排的“三公”经费支出预算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12.05</w:t>
      </w:r>
      <w:r>
        <w:rPr>
          <w:rFonts w:hint="eastAsia" w:ascii="仿宋_GB2312" w:hAnsi="仿宋_GB2312" w:eastAsia="仿宋_GB2312" w:cs="仿宋_GB2312"/>
          <w:color w:val="000000" w:themeColor="text1"/>
          <w:sz w:val="32"/>
          <w:szCs w:val="32"/>
          <w14:textFill>
            <w14:solidFill>
              <w14:schemeClr w14:val="tx1"/>
            </w14:solidFill>
          </w14:textFill>
        </w:rPr>
        <w:t>万元，同口径比</w:t>
      </w:r>
      <w:r>
        <w:rPr>
          <w:rFonts w:hint="eastAsia" w:ascii="仿宋_GB2312" w:hAnsi="仿宋_GB2312" w:eastAsia="仿宋_GB2312" w:cs="仿宋_GB2312"/>
          <w:color w:val="000000" w:themeColor="text1"/>
          <w:sz w:val="32"/>
          <w:szCs w:val="32"/>
          <w:lang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198.27</w:t>
      </w:r>
      <w:r>
        <w:rPr>
          <w:rFonts w:hint="eastAsia" w:ascii="仿宋_GB2312" w:hAnsi="仿宋_GB2312" w:eastAsia="仿宋_GB2312" w:cs="仿宋_GB2312"/>
          <w:color w:val="000000" w:themeColor="text1"/>
          <w:sz w:val="32"/>
          <w:szCs w:val="32"/>
          <w14:textFill>
            <w14:solidFill>
              <w14:schemeClr w14:val="tx1"/>
            </w14:solidFill>
          </w14:textFill>
        </w:rPr>
        <w:t>%。具体如下：</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因公出国（境）费</w:t>
      </w: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年预算安排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与上年持平</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公务用车购置及运行费202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年预算安排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8.01</w:t>
      </w:r>
      <w:r>
        <w:rPr>
          <w:rFonts w:hint="eastAsia" w:ascii="仿宋_GB2312" w:hAnsi="仿宋_GB2312" w:eastAsia="仿宋_GB2312" w:cs="仿宋_GB2312"/>
          <w:color w:val="000000" w:themeColor="text1"/>
          <w:sz w:val="32"/>
          <w:szCs w:val="32"/>
          <w14:textFill>
            <w14:solidFill>
              <w14:schemeClr w14:val="tx1"/>
            </w14:solidFill>
          </w14:textFill>
        </w:rPr>
        <w:t>万元，比上年增加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8.01</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198.27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公务用车购置费202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年预算安排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与上年持平；</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公务用车运行维护费202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年预算安排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8.01</w:t>
      </w:r>
      <w:r>
        <w:rPr>
          <w:rFonts w:hint="eastAsia" w:ascii="仿宋_GB2312" w:hAnsi="仿宋_GB2312" w:eastAsia="仿宋_GB2312" w:cs="仿宋_GB2312"/>
          <w:color w:val="000000" w:themeColor="text1"/>
          <w:sz w:val="32"/>
          <w:szCs w:val="32"/>
          <w14:textFill>
            <w14:solidFill>
              <w14:schemeClr w14:val="tx1"/>
            </w14:solidFill>
          </w14:textFill>
        </w:rPr>
        <w:t>万元，比上年增加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8.01</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198.27</w:t>
      </w:r>
      <w:r>
        <w:rPr>
          <w:rFonts w:hint="eastAsia" w:ascii="仿宋_GB2312" w:hAnsi="仿宋_GB2312" w:eastAsia="仿宋_GB2312" w:cs="仿宋_GB2312"/>
          <w:color w:val="000000" w:themeColor="text1"/>
          <w:sz w:val="32"/>
          <w:szCs w:val="32"/>
          <w14:textFill>
            <w14:solidFill>
              <w14:schemeClr w14:val="tx1"/>
            </w14:solidFill>
          </w14:textFill>
        </w:rPr>
        <w:t>%，增加的主要原因是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2023年第一年独立编制预算，因事业单位车改后公车信息未找到明确定编文件，因此未编入2023、2024年部门预算公车运行维护费，2025年根据《广西壮族自治区公安厅关于对厅</w:t>
      </w:r>
      <w:bookmarkStart w:id="44" w:name="_GoBack"/>
      <w:bookmarkEnd w:id="44"/>
      <w:r>
        <w:rPr>
          <w:rFonts w:hint="eastAsia" w:ascii="仿宋_GB2312" w:hAnsi="仿宋_GB2312" w:eastAsia="仿宋_GB2312" w:cs="仿宋_GB2312"/>
          <w:color w:val="000000" w:themeColor="text1"/>
          <w:sz w:val="32"/>
          <w:szCs w:val="32"/>
          <w14:textFill>
            <w14:solidFill>
              <w14:schemeClr w14:val="tx1"/>
            </w14:solidFill>
          </w14:textFill>
        </w:rPr>
        <w:t>属事业单位公务用车制度改革实施方案的批复》（桂公复〔2018〕51号）、《广西壮族自治区公安厅关于报送厅所属事业单位公务用车制度改革备案材料的函》、《关于推进全区事业单位和国有企业公务用车制度改革工作的通知》文件，明确机关服务中心公车改革后保留的3辆公车编制，因此编入2025年部门预算。</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年预算安排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与上年持平。</w:t>
      </w:r>
    </w:p>
    <w:p>
      <w:pPr>
        <w:keepNext w:val="0"/>
        <w:keepLines w:val="0"/>
        <w:pageBreakBefore w:val="0"/>
        <w:widowControl w:val="0"/>
        <w:kinsoku/>
        <w:wordWrap/>
        <w:overflowPunct/>
        <w:topLinePunct w:val="0"/>
        <w:autoSpaceDE/>
        <w:bidi w:val="0"/>
        <w:spacing w:line="540" w:lineRule="exact"/>
        <w:ind w:firstLine="640" w:firstLineChars="200"/>
        <w:textAlignment w:val="auto"/>
        <w:outlineLvl w:val="1"/>
        <w:rPr>
          <w:rFonts w:eastAsia="黑体"/>
          <w:color w:val="000000" w:themeColor="text1"/>
          <w:sz w:val="32"/>
          <w:szCs w:val="32"/>
          <w14:textFill>
            <w14:solidFill>
              <w14:schemeClr w14:val="tx1"/>
            </w14:solidFill>
          </w14:textFill>
        </w:rPr>
      </w:pPr>
      <w:bookmarkStart w:id="35" w:name="_Toc9208"/>
      <w:bookmarkStart w:id="36" w:name="_Toc106"/>
      <w:bookmarkStart w:id="37" w:name="_Toc1909"/>
      <w:r>
        <w:rPr>
          <w:rFonts w:hint="eastAsia" w:eastAsia="黑体"/>
          <w:color w:val="000000" w:themeColor="text1"/>
          <w:sz w:val="32"/>
          <w:szCs w:val="32"/>
          <w:lang w:eastAsia="zh-CN"/>
          <w14:textFill>
            <w14:solidFill>
              <w14:schemeClr w14:val="tx1"/>
            </w14:solidFill>
          </w14:textFill>
        </w:rPr>
        <w:t>七</w:t>
      </w:r>
      <w:r>
        <w:rPr>
          <w:rFonts w:eastAsia="黑体"/>
          <w:color w:val="000000" w:themeColor="text1"/>
          <w:sz w:val="32"/>
          <w:szCs w:val="32"/>
          <w14:textFill>
            <w14:solidFill>
              <w14:schemeClr w14:val="tx1"/>
            </w14:solidFill>
          </w14:textFill>
        </w:rPr>
        <w:t>、</w:t>
      </w:r>
      <w:bookmarkEnd w:id="35"/>
      <w:bookmarkEnd w:id="36"/>
      <w:bookmarkEnd w:id="37"/>
      <w:r>
        <w:rPr>
          <w:rFonts w:hint="eastAsia" w:eastAsia="黑体"/>
          <w:color w:val="000000" w:themeColor="text1"/>
          <w:sz w:val="32"/>
          <w:szCs w:val="32"/>
          <w:lang w:eastAsia="zh-CN"/>
          <w14:textFill>
            <w14:solidFill>
              <w14:schemeClr w14:val="tx1"/>
            </w14:solidFill>
          </w14:textFill>
        </w:rPr>
        <w:t>事业单位相关运行经费安排情况说明</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年事业单位相关运行经费财政拨款预算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82.40</w:t>
      </w:r>
      <w:r>
        <w:rPr>
          <w:rFonts w:hint="eastAsia" w:ascii="仿宋_GB2312" w:hAnsi="仿宋_GB2312" w:eastAsia="仿宋_GB2312" w:cs="仿宋_GB2312"/>
          <w:color w:val="000000" w:themeColor="text1"/>
          <w:sz w:val="32"/>
          <w:szCs w:val="32"/>
          <w14:textFill>
            <w14:solidFill>
              <w14:schemeClr w14:val="tx1"/>
            </w14:solidFill>
          </w14:textFill>
        </w:rPr>
        <w:t>万元，较</w:t>
      </w:r>
      <w:r>
        <w:rPr>
          <w:rFonts w:hint="eastAsia" w:ascii="仿宋_GB2312" w:hAnsi="仿宋_GB2312" w:eastAsia="仿宋_GB2312" w:cs="仿宋_GB2312"/>
          <w:color w:val="000000" w:themeColor="text1"/>
          <w:sz w:val="32"/>
          <w:szCs w:val="32"/>
          <w:lang w:eastAsia="zh-CN"/>
          <w14:textFill>
            <w14:solidFill>
              <w14:schemeClr w14:val="tx1"/>
            </w14:solidFill>
          </w14:textFill>
        </w:rPr>
        <w:t>上</w:t>
      </w:r>
      <w:r>
        <w:rPr>
          <w:rFonts w:hint="eastAsia" w:ascii="仿宋_GB2312" w:hAnsi="仿宋_GB2312" w:eastAsia="仿宋_GB2312" w:cs="仿宋_GB2312"/>
          <w:color w:val="000000" w:themeColor="text1"/>
          <w:sz w:val="32"/>
          <w:szCs w:val="32"/>
          <w14:textFill>
            <w14:solidFill>
              <w14:schemeClr w14:val="tx1"/>
            </w14:solidFill>
          </w14:textFill>
        </w:rPr>
        <w:t>年预算增加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5.24</w:t>
      </w:r>
      <w:r>
        <w:rPr>
          <w:rFonts w:hint="eastAsia" w:ascii="仿宋_GB2312" w:hAnsi="仿宋_GB2312" w:eastAsia="仿宋_GB2312" w:cs="仿宋_GB2312"/>
          <w:color w:val="000000" w:themeColor="text1"/>
          <w:sz w:val="32"/>
          <w:szCs w:val="32"/>
          <w14:textFill>
            <w14:solidFill>
              <w14:schemeClr w14:val="tx1"/>
            </w14:solidFill>
          </w14:textFill>
        </w:rPr>
        <w:t>万元，增加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增加的主要原因是增加了公务用车运行维护费。该经费</w:t>
      </w:r>
      <w:r>
        <w:rPr>
          <w:rFonts w:hint="eastAsia" w:ascii="仿宋_GB2312" w:hAnsi="仿宋_GB2312" w:eastAsia="仿宋_GB2312" w:cs="仿宋_GB2312"/>
          <w:color w:val="000000" w:themeColor="text1"/>
          <w:sz w:val="32"/>
          <w:szCs w:val="32"/>
          <w14:textFill>
            <w14:solidFill>
              <w14:schemeClr w14:val="tx1"/>
            </w14:solidFill>
          </w14:textFill>
        </w:rPr>
        <w:t>主要用于保障机关正常运行，全部按自治区统一规定公用经费分项核定标准的基本支出，如办公费、水电费、差旅费、会议费、劳务费、</w:t>
      </w:r>
      <w:r>
        <w:rPr>
          <w:rFonts w:hint="eastAsia" w:ascii="仿宋_GB2312" w:hAnsi="仿宋_GB2312" w:eastAsia="仿宋_GB2312" w:cs="仿宋_GB2312"/>
          <w:color w:val="000000" w:themeColor="text1"/>
          <w:sz w:val="32"/>
          <w:szCs w:val="32"/>
          <w:lang w:eastAsia="zh-CN"/>
          <w14:textFill>
            <w14:solidFill>
              <w14:schemeClr w14:val="tx1"/>
            </w14:solidFill>
          </w14:textFill>
        </w:rPr>
        <w:t>专用材料</w:t>
      </w:r>
      <w:r>
        <w:rPr>
          <w:rFonts w:hint="eastAsia" w:ascii="仿宋_GB2312" w:hAnsi="仿宋_GB2312" w:eastAsia="仿宋_GB2312" w:cs="仿宋_GB2312"/>
          <w:color w:val="000000" w:themeColor="text1"/>
          <w:sz w:val="32"/>
          <w:szCs w:val="32"/>
          <w14:textFill>
            <w14:solidFill>
              <w14:schemeClr w14:val="tx1"/>
            </w14:solidFill>
          </w14:textFill>
        </w:rPr>
        <w:t>费等。</w:t>
      </w:r>
    </w:p>
    <w:p>
      <w:pPr>
        <w:keepNext w:val="0"/>
        <w:keepLines w:val="0"/>
        <w:pageBreakBefore w:val="0"/>
        <w:widowControl w:val="0"/>
        <w:kinsoku/>
        <w:wordWrap/>
        <w:overflowPunct/>
        <w:topLinePunct w:val="0"/>
        <w:autoSpaceDE/>
        <w:bidi w:val="0"/>
        <w:spacing w:line="540" w:lineRule="exact"/>
        <w:ind w:firstLine="640" w:firstLineChars="200"/>
        <w:textAlignment w:val="auto"/>
        <w:outlineLvl w:val="1"/>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八</w:t>
      </w:r>
      <w:r>
        <w:rPr>
          <w:rFonts w:eastAsia="黑体"/>
          <w:color w:val="000000" w:themeColor="text1"/>
          <w:sz w:val="32"/>
          <w:szCs w:val="32"/>
          <w14:textFill>
            <w14:solidFill>
              <w14:schemeClr w14:val="tx1"/>
            </w14:solidFill>
          </w14:textFill>
        </w:rPr>
        <w:t>、</w:t>
      </w:r>
      <w:r>
        <w:rPr>
          <w:rFonts w:hint="eastAsia" w:eastAsia="黑体"/>
          <w:color w:val="000000" w:themeColor="text1"/>
          <w:sz w:val="32"/>
          <w:szCs w:val="32"/>
          <w:lang w:eastAsia="zh-CN"/>
          <w14:textFill>
            <w14:solidFill>
              <w14:schemeClr w14:val="tx1"/>
            </w14:solidFill>
          </w14:textFill>
        </w:rPr>
        <w:t>政府采购预算安排情况说明</w:t>
      </w:r>
    </w:p>
    <w:p>
      <w:pPr>
        <w:keepNext w:val="0"/>
        <w:keepLines w:val="0"/>
        <w:pageBreakBefore w:val="0"/>
        <w:widowControl w:val="0"/>
        <w:tabs>
          <w:tab w:val="center" w:pos="4475"/>
        </w:tabs>
        <w:kinsoku/>
        <w:wordWrap/>
        <w:overflowPunct/>
        <w:topLinePunct w:val="0"/>
        <w:autoSpaceDE/>
        <w:bidi w:val="0"/>
        <w:spacing w:line="54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8" w:name="_Toc5965"/>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年政府采购预算总金额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1051.15</w:t>
      </w:r>
      <w:r>
        <w:rPr>
          <w:rFonts w:hint="eastAsia" w:ascii="仿宋_GB2312" w:hAnsi="仿宋_GB2312" w:eastAsia="仿宋_GB2312" w:cs="仿宋_GB2312"/>
          <w:color w:val="000000" w:themeColor="text1"/>
          <w:sz w:val="32"/>
          <w:szCs w:val="32"/>
          <w14:textFill>
            <w14:solidFill>
              <w14:schemeClr w14:val="tx1"/>
            </w14:solidFill>
          </w14:textFill>
        </w:rPr>
        <w:t>万元。其中：货物类采购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万元、工程类采购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万元、服务类采购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1051.15</w:t>
      </w:r>
      <w:r>
        <w:rPr>
          <w:rFonts w:hint="eastAsia" w:ascii="仿宋_GB2312" w:hAnsi="仿宋_GB2312" w:eastAsia="仿宋_GB2312" w:cs="仿宋_GB2312"/>
          <w:color w:val="000000" w:themeColor="text1"/>
          <w:sz w:val="32"/>
          <w:szCs w:val="32"/>
          <w14:textFill>
            <w14:solidFill>
              <w14:schemeClr w14:val="tx1"/>
            </w14:solidFill>
          </w14:textFill>
        </w:rPr>
        <w:t>万元。</w:t>
      </w:r>
    </w:p>
    <w:bookmarkEnd w:id="38"/>
    <w:p>
      <w:pPr>
        <w:keepNext w:val="0"/>
        <w:keepLines w:val="0"/>
        <w:pageBreakBefore w:val="0"/>
        <w:widowControl w:val="0"/>
        <w:kinsoku/>
        <w:wordWrap/>
        <w:overflowPunct/>
        <w:topLinePunct w:val="0"/>
        <w:autoSpaceDE/>
        <w:bidi w:val="0"/>
        <w:spacing w:line="540" w:lineRule="exact"/>
        <w:ind w:firstLine="640" w:firstLineChars="200"/>
        <w:textAlignment w:val="auto"/>
        <w:outlineLvl w:val="1"/>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九、国有资产占用情况说明</w:t>
      </w:r>
    </w:p>
    <w:p>
      <w:pPr>
        <w:keepNext w:val="0"/>
        <w:keepLines w:val="0"/>
        <w:pageBreakBefore w:val="0"/>
        <w:widowControl w:val="0"/>
        <w:numPr>
          <w:ilvl w:val="0"/>
          <w:numId w:val="0"/>
        </w:numPr>
        <w:tabs>
          <w:tab w:val="center" w:pos="4475"/>
        </w:tabs>
        <w:kinsoku/>
        <w:wordWrap/>
        <w:overflowPunct/>
        <w:topLinePunct w:val="0"/>
        <w:autoSpaceDE/>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单位2025</w:t>
      </w:r>
      <w:r>
        <w:rPr>
          <w:rFonts w:hint="eastAsia" w:ascii="仿宋_GB2312" w:hAnsi="仿宋_GB2312" w:eastAsia="仿宋_GB2312" w:cs="仿宋_GB2312"/>
          <w:color w:val="000000" w:themeColor="text1"/>
          <w:sz w:val="32"/>
          <w:szCs w:val="32"/>
          <w14:textFill>
            <w14:solidFill>
              <w14:schemeClr w14:val="tx1"/>
            </w14:solidFill>
          </w14:textFill>
        </w:rPr>
        <w:t>年车辆编制数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辆，实有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辆，其中：一般（公务）用车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辆。</w:t>
      </w:r>
      <w:bookmarkStart w:id="39" w:name="_Toc16358"/>
    </w:p>
    <w:p>
      <w:pPr>
        <w:keepNext w:val="0"/>
        <w:keepLines w:val="0"/>
        <w:pageBreakBefore w:val="0"/>
        <w:widowControl w:val="0"/>
        <w:kinsoku/>
        <w:wordWrap/>
        <w:overflowPunct/>
        <w:topLinePunct w:val="0"/>
        <w:autoSpaceDE/>
        <w:bidi w:val="0"/>
        <w:spacing w:line="540" w:lineRule="exact"/>
        <w:ind w:firstLine="640" w:firstLineChars="200"/>
        <w:textAlignment w:val="auto"/>
        <w:outlineLvl w:val="1"/>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十、</w:t>
      </w:r>
      <w:bookmarkEnd w:id="39"/>
      <w:r>
        <w:rPr>
          <w:rFonts w:hint="eastAsia" w:eastAsia="黑体"/>
          <w:color w:val="000000" w:themeColor="text1"/>
          <w:sz w:val="32"/>
          <w:szCs w:val="32"/>
          <w:lang w:eastAsia="zh-CN"/>
          <w14:textFill>
            <w14:solidFill>
              <w14:schemeClr w14:val="tx1"/>
            </w14:solidFill>
          </w14:textFill>
        </w:rPr>
        <w:t>预算绩效目标情况说明</w:t>
      </w:r>
    </w:p>
    <w:p>
      <w:pPr>
        <w:keepNext w:val="0"/>
        <w:keepLines w:val="0"/>
        <w:pageBreakBefore w:val="0"/>
        <w:widowControl w:val="0"/>
        <w:tabs>
          <w:tab w:val="center" w:pos="4475"/>
        </w:tabs>
        <w:suppressAutoHyphens w:val="0"/>
        <w:kinsoku/>
        <w:wordWrap/>
        <w:overflowPunct/>
        <w:topLinePunct w:val="0"/>
        <w:autoSpaceDE/>
        <w:autoSpaceDN w:val="0"/>
        <w:bidi w:val="0"/>
        <w:spacing w:line="540" w:lineRule="exact"/>
        <w:ind w:firstLine="645"/>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aps w:val="0"/>
          <w:color w:val="auto"/>
          <w:kern w:val="2"/>
          <w:sz w:val="32"/>
          <w:szCs w:val="32"/>
          <w:vertAlign w:val="baseline"/>
          <w:lang w:val="en-US" w:eastAsia="zh-CN" w:bidi="ar"/>
        </w:rPr>
        <w:t>（一）我单位2025年所有项目支出全面实施绩效目标管理，涉及自治区本级项目7个，预算资金3211.06万元；对下转移支付项目0个。绩效目标情况详见报表。</w:t>
      </w:r>
    </w:p>
    <w:p>
      <w:pPr>
        <w:keepNext w:val="0"/>
        <w:keepLines w:val="0"/>
        <w:pageBreakBefore w:val="0"/>
        <w:widowControl w:val="0"/>
        <w:tabs>
          <w:tab w:val="center" w:pos="4475"/>
        </w:tabs>
        <w:kinsoku/>
        <w:wordWrap/>
        <w:overflowPunct/>
        <w:topLinePunct w:val="0"/>
        <w:autoSpaceDE/>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（二）重点项目预算绩效目标说明。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3039"/>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center"/>
          </w:tcPr>
          <w:p>
            <w:pPr>
              <w:keepNext w:val="0"/>
              <w:keepLines w:val="0"/>
              <w:pageBreakBefore w:val="0"/>
              <w:widowControl w:val="0"/>
              <w:tabs>
                <w:tab w:val="center" w:pos="4475"/>
              </w:tabs>
              <w:kinsoku/>
              <w:wordWrap/>
              <w:overflowPunct/>
              <w:topLinePunct w:val="0"/>
              <w:autoSpaceDE/>
              <w:bidi w:val="0"/>
              <w:spacing w:line="54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项目名称</w:t>
            </w:r>
          </w:p>
        </w:tc>
        <w:tc>
          <w:tcPr>
            <w:tcW w:w="3039" w:type="dxa"/>
            <w:noWrap w:val="0"/>
            <w:vAlign w:val="center"/>
          </w:tcPr>
          <w:p>
            <w:pPr>
              <w:keepNext w:val="0"/>
              <w:keepLines w:val="0"/>
              <w:pageBreakBefore w:val="0"/>
              <w:widowControl w:val="0"/>
              <w:tabs>
                <w:tab w:val="center" w:pos="4475"/>
              </w:tabs>
              <w:kinsoku/>
              <w:wordWrap/>
              <w:overflowPunct/>
              <w:topLinePunct w:val="0"/>
              <w:autoSpaceDE/>
              <w:bidi w:val="0"/>
              <w:spacing w:line="54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预算数（单位：万元）</w:t>
            </w:r>
          </w:p>
        </w:tc>
        <w:tc>
          <w:tcPr>
            <w:tcW w:w="3040" w:type="dxa"/>
            <w:noWrap w:val="0"/>
            <w:vAlign w:val="center"/>
          </w:tcPr>
          <w:p>
            <w:pPr>
              <w:keepNext w:val="0"/>
              <w:keepLines w:val="0"/>
              <w:pageBreakBefore w:val="0"/>
              <w:widowControl w:val="0"/>
              <w:tabs>
                <w:tab w:val="center" w:pos="4475"/>
              </w:tabs>
              <w:kinsoku/>
              <w:wordWrap/>
              <w:overflowPunct/>
              <w:topLinePunct w:val="0"/>
              <w:autoSpaceDE/>
              <w:bidi w:val="0"/>
              <w:spacing w:line="54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center"/>
          </w:tcPr>
          <w:p>
            <w:pPr>
              <w:keepNext w:val="0"/>
              <w:keepLines w:val="0"/>
              <w:pageBreakBefore w:val="0"/>
              <w:widowControl w:val="0"/>
              <w:tabs>
                <w:tab w:val="center" w:pos="4475"/>
              </w:tabs>
              <w:kinsoku/>
              <w:wordWrap/>
              <w:overflowPunct/>
              <w:topLinePunct w:val="0"/>
              <w:autoSpaceDE/>
              <w:bidi w:val="0"/>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残疾人就业保障金</w:t>
            </w:r>
          </w:p>
        </w:tc>
        <w:tc>
          <w:tcPr>
            <w:tcW w:w="3039" w:type="dxa"/>
            <w:noWrap w:val="0"/>
            <w:vAlign w:val="center"/>
          </w:tcPr>
          <w:p>
            <w:pPr>
              <w:keepNext w:val="0"/>
              <w:keepLines w:val="0"/>
              <w:pageBreakBefore w:val="0"/>
              <w:widowControl w:val="0"/>
              <w:tabs>
                <w:tab w:val="center" w:pos="4475"/>
              </w:tabs>
              <w:kinsoku/>
              <w:wordWrap/>
              <w:overflowPunct/>
              <w:topLinePunct w:val="0"/>
              <w:autoSpaceDE/>
              <w:bidi w:val="0"/>
              <w:spacing w:line="540" w:lineRule="exact"/>
              <w:jc w:val="center"/>
              <w:textAlignment w:val="auto"/>
              <w:rPr>
                <w:rFonts w:hint="default" w:ascii="仿宋_GB2312" w:hAnsi="仿宋_GB2312" w:eastAsia="仿宋_GB2312" w:cs="仿宋_GB2312"/>
                <w:sz w:val="32"/>
                <w:szCs w:val="32"/>
                <w:vertAlign w:val="baseline"/>
                <w:lang w:val="en-US"/>
              </w:rPr>
            </w:pPr>
            <w:r>
              <w:rPr>
                <w:rFonts w:hint="eastAsia" w:ascii="仿宋_GB2312" w:hAnsi="仿宋_GB2312" w:eastAsia="仿宋_GB2312" w:cs="仿宋_GB2312"/>
                <w:sz w:val="32"/>
                <w:szCs w:val="32"/>
                <w:vertAlign w:val="baseline"/>
                <w:lang w:val="en-US" w:eastAsia="zh-CN"/>
              </w:rPr>
              <w:t>5.10</w:t>
            </w:r>
          </w:p>
        </w:tc>
        <w:tc>
          <w:tcPr>
            <w:tcW w:w="3040" w:type="dxa"/>
            <w:noWrap w:val="0"/>
            <w:vAlign w:val="center"/>
          </w:tcPr>
          <w:p>
            <w:pPr>
              <w:keepNext w:val="0"/>
              <w:keepLines w:val="0"/>
              <w:pageBreakBefore w:val="0"/>
              <w:widowControl w:val="0"/>
              <w:tabs>
                <w:tab w:val="center" w:pos="4475"/>
              </w:tabs>
              <w:kinsoku/>
              <w:wordWrap/>
              <w:overflowPunct/>
              <w:topLinePunct w:val="0"/>
              <w:autoSpaceDE/>
              <w:bidi w:val="0"/>
              <w:spacing w:line="54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通过征缴残疾人就业保障金以支持残疾人就业和保障残疾人其他支出。</w:t>
            </w:r>
          </w:p>
        </w:tc>
      </w:tr>
    </w:tbl>
    <w:p>
      <w:pPr>
        <w:keepNext w:val="0"/>
        <w:keepLines w:val="0"/>
        <w:pageBreakBefore w:val="0"/>
        <w:widowControl w:val="0"/>
        <w:tabs>
          <w:tab w:val="center" w:pos="4475"/>
        </w:tabs>
        <w:kinsoku/>
        <w:wordWrap/>
        <w:overflowPunct/>
        <w:topLinePunct w:val="0"/>
        <w:autoSpaceDE/>
        <w:bidi w:val="0"/>
        <w:spacing w:line="540" w:lineRule="exact"/>
        <w:ind w:firstLine="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outlineLvl w:val="0"/>
        <w:rPr>
          <w:rFonts w:eastAsia="黑体"/>
          <w:color w:val="000000" w:themeColor="text1"/>
          <w:sz w:val="32"/>
          <w:szCs w:val="32"/>
          <w14:textFill>
            <w14:solidFill>
              <w14:schemeClr w14:val="tx1"/>
            </w14:solidFill>
          </w14:textFill>
        </w:rPr>
      </w:pPr>
      <w:bookmarkStart w:id="40" w:name="_Toc23444"/>
      <w:bookmarkStart w:id="41" w:name="_Toc4850"/>
      <w:bookmarkStart w:id="42" w:name="_Toc23917"/>
      <w:bookmarkStart w:id="43" w:name="_Toc28077"/>
      <w:r>
        <w:rPr>
          <w:rFonts w:eastAsia="黑体"/>
          <w:color w:val="000000" w:themeColor="text1"/>
          <w:sz w:val="32"/>
          <w:szCs w:val="32"/>
          <w14:textFill>
            <w14:solidFill>
              <w14:schemeClr w14:val="tx1"/>
            </w14:solidFill>
          </w14:textFill>
        </w:rPr>
        <w:t>第</w:t>
      </w:r>
      <w:r>
        <w:rPr>
          <w:rFonts w:hint="eastAsia" w:eastAsia="黑体"/>
          <w:color w:val="000000" w:themeColor="text1"/>
          <w:sz w:val="32"/>
          <w:szCs w:val="32"/>
          <w14:textFill>
            <w14:solidFill>
              <w14:schemeClr w14:val="tx1"/>
            </w14:solidFill>
          </w14:textFill>
        </w:rPr>
        <w:t>三</w:t>
      </w:r>
      <w:r>
        <w:rPr>
          <w:rFonts w:eastAsia="黑体"/>
          <w:color w:val="000000" w:themeColor="text1"/>
          <w:sz w:val="32"/>
          <w:szCs w:val="32"/>
          <w14:textFill>
            <w14:solidFill>
              <w14:schemeClr w14:val="tx1"/>
            </w14:solidFill>
          </w14:textFill>
        </w:rPr>
        <w:t>部分</w:t>
      </w:r>
      <w:r>
        <w:rPr>
          <w:rFonts w:hint="eastAsia" w:eastAsia="黑体"/>
          <w:color w:val="000000" w:themeColor="text1"/>
          <w:sz w:val="32"/>
          <w:szCs w:val="32"/>
          <w14:textFill>
            <w14:solidFill>
              <w14:schemeClr w14:val="tx1"/>
            </w14:solidFill>
          </w14:textFill>
        </w:rPr>
        <w:t>：</w:t>
      </w:r>
      <w:r>
        <w:rPr>
          <w:rFonts w:eastAsia="黑体"/>
          <w:color w:val="000000" w:themeColor="text1"/>
          <w:sz w:val="32"/>
          <w:szCs w:val="32"/>
          <w14:textFill>
            <w14:solidFill>
              <w14:schemeClr w14:val="tx1"/>
            </w14:solidFill>
          </w14:textFill>
        </w:rPr>
        <w:t>名词解释</w:t>
      </w:r>
      <w:bookmarkEnd w:id="40"/>
      <w:bookmarkEnd w:id="41"/>
      <w:bookmarkEnd w:id="42"/>
      <w:bookmarkEnd w:id="43"/>
    </w:p>
    <w:p>
      <w:pPr>
        <w:keepNext w:val="0"/>
        <w:keepLines w:val="0"/>
        <w:pageBreakBefore w:val="0"/>
        <w:widowControl w:val="0"/>
        <w:kinsoku/>
        <w:wordWrap/>
        <w:overflowPunct/>
        <w:topLinePunct w:val="0"/>
        <w:autoSpaceDE/>
        <w:autoSpaceDN/>
        <w:bidi w:val="0"/>
        <w:spacing w:after="0" w:line="54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一、基本支出：指为保障机构正常运转、完成日常工作任务而发生的人员支出和定额公用支出。 </w:t>
      </w:r>
    </w:p>
    <w:p>
      <w:pPr>
        <w:keepNext w:val="0"/>
        <w:keepLines w:val="0"/>
        <w:pageBreakBefore w:val="0"/>
        <w:widowControl w:val="0"/>
        <w:kinsoku/>
        <w:wordWrap/>
        <w:overflowPunct/>
        <w:topLinePunct w:val="0"/>
        <w:autoSpaceDE/>
        <w:autoSpaceDN/>
        <w:bidi w:val="0"/>
        <w:spacing w:after="0" w:line="54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二、项目支出：指在基本支出之外为完成特定行政任务和事业发展目标所发生的支出。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spacing w:after="0" w:line="54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三、“三公”经费：纳入自治区财政预决算管理的“三公”经费，是指自治区本级各</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 xml:space="preserve">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tabs>
          <w:tab w:val="center" w:pos="4475"/>
        </w:tabs>
        <w:kinsoku/>
        <w:wordWrap/>
        <w:overflowPunct/>
        <w:topLinePunct w:val="0"/>
        <w:autoSpaceDE/>
        <w:bidi w:val="0"/>
        <w:spacing w:line="540" w:lineRule="exact"/>
        <w:ind w:firstLine="645"/>
        <w:textAlignment w:val="auto"/>
        <w:rPr>
          <w:rFonts w:hint="eastAsia" w:ascii="黑体" w:eastAsia="黑体"/>
          <w:color w:val="000000" w:themeColor="text1"/>
          <w:sz w:val="32"/>
          <w:szCs w:val="32"/>
          <w14:textFill>
            <w14:solidFill>
              <w14:schemeClr w14:val="tx1"/>
            </w14:solidFill>
          </w14:textFill>
        </w:rPr>
      </w:pPr>
    </w:p>
    <w:p>
      <w:pPr>
        <w:keepNext w:val="0"/>
        <w:keepLines w:val="0"/>
        <w:pageBreakBefore w:val="0"/>
        <w:widowControl w:val="0"/>
        <w:tabs>
          <w:tab w:val="center" w:pos="4475"/>
        </w:tabs>
        <w:kinsoku/>
        <w:wordWrap/>
        <w:overflowPunct/>
        <w:topLinePunct w:val="0"/>
        <w:autoSpaceDE/>
        <w:bidi w:val="0"/>
        <w:spacing w:line="540" w:lineRule="exact"/>
        <w:ind w:firstLine="645"/>
        <w:textAlignment w:val="auto"/>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第四部分：</w:t>
      </w:r>
      <w:r>
        <w:rPr>
          <w:rFonts w:hint="eastAsia" w:ascii="黑体" w:hAnsi="宋体" w:eastAsia="黑体"/>
          <w:color w:val="000000" w:themeColor="text1"/>
          <w:sz w:val="32"/>
          <w:szCs w:val="32"/>
          <w:lang w:eastAsia="zh-CN"/>
          <w14:textFill>
            <w14:solidFill>
              <w14:schemeClr w14:val="tx1"/>
            </w14:solidFill>
          </w14:textFill>
        </w:rPr>
        <w:t>广西壮族自治区公安厅机关服务中心2025</w:t>
      </w:r>
      <w:r>
        <w:rPr>
          <w:rFonts w:hint="eastAsia" w:ascii="黑体" w:hAnsi="宋体" w:eastAsia="黑体"/>
          <w:color w:val="000000" w:themeColor="text1"/>
          <w:sz w:val="32"/>
          <w:szCs w:val="32"/>
          <w14:textFill>
            <w14:solidFill>
              <w14:schemeClr w14:val="tx1"/>
            </w14:solidFill>
          </w14:textFill>
        </w:rPr>
        <w:t>年</w:t>
      </w:r>
      <w:r>
        <w:rPr>
          <w:rFonts w:hint="eastAsia" w:ascii="黑体" w:eastAsia="黑体"/>
          <w:color w:val="000000" w:themeColor="text1"/>
          <w:sz w:val="32"/>
          <w:szCs w:val="32"/>
          <w:lang w:eastAsia="zh-CN"/>
          <w14:textFill>
            <w14:solidFill>
              <w14:schemeClr w14:val="tx1"/>
            </w14:solidFill>
          </w14:textFill>
        </w:rPr>
        <w:t>单位</w:t>
      </w:r>
      <w:r>
        <w:rPr>
          <w:rFonts w:hint="eastAsia" w:ascii="黑体" w:eastAsia="黑体"/>
          <w:color w:val="000000" w:themeColor="text1"/>
          <w:sz w:val="32"/>
          <w:szCs w:val="32"/>
          <w14:textFill>
            <w14:solidFill>
              <w14:schemeClr w14:val="tx1"/>
            </w14:solidFill>
          </w14:textFill>
        </w:rPr>
        <w:t>预算</w:t>
      </w:r>
      <w:r>
        <w:rPr>
          <w:rFonts w:hint="eastAsia" w:ascii="黑体" w:eastAsia="黑体"/>
          <w:color w:val="000000" w:themeColor="text1"/>
          <w:sz w:val="32"/>
          <w:szCs w:val="32"/>
          <w:lang w:eastAsia="zh-CN"/>
          <w14:textFill>
            <w14:solidFill>
              <w14:schemeClr w14:val="tx1"/>
            </w14:solidFill>
          </w14:textFill>
        </w:rPr>
        <w:t>公开报</w:t>
      </w:r>
      <w:r>
        <w:rPr>
          <w:rFonts w:hint="eastAsia" w:ascii="黑体" w:eastAsia="黑体"/>
          <w:color w:val="000000" w:themeColor="text1"/>
          <w:sz w:val="32"/>
          <w:szCs w:val="32"/>
          <w14:textFill>
            <w14:solidFill>
              <w14:schemeClr w14:val="tx1"/>
            </w14:solidFill>
          </w14:textFill>
        </w:rPr>
        <w:t>表</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详见</w:t>
      </w:r>
      <w:r>
        <w:rPr>
          <w:rFonts w:hint="eastAsia" w:ascii="仿宋_GB2312" w:hAnsi="仿宋_GB2312" w:eastAsia="仿宋_GB2312" w:cs="仿宋_GB2312"/>
          <w:color w:val="000000" w:themeColor="text1"/>
          <w:sz w:val="32"/>
          <w:szCs w:val="32"/>
          <w:lang w:eastAsia="zh-CN"/>
          <w14:textFill>
            <w14:solidFill>
              <w14:schemeClr w14:val="tx1"/>
            </w14:solidFill>
          </w14:textFill>
        </w:rPr>
        <w:t>广西壮族自治区公安厅机关服务中心2025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预算</w:t>
      </w:r>
      <w:r>
        <w:rPr>
          <w:rFonts w:hint="eastAsia" w:ascii="仿宋_GB2312" w:hAnsi="仿宋_GB2312" w:eastAsia="仿宋_GB2312" w:cs="仿宋_GB2312"/>
          <w:color w:val="000000" w:themeColor="text1"/>
          <w:sz w:val="32"/>
          <w:szCs w:val="32"/>
          <w:lang w:eastAsia="zh-CN"/>
          <w14:textFill>
            <w14:solidFill>
              <w14:schemeClr w14:val="tx1"/>
            </w14:solidFill>
          </w14:textFill>
        </w:rPr>
        <w:t>公开表</w:t>
      </w:r>
      <w:r>
        <w:rPr>
          <w:rFonts w:hint="eastAsia" w:ascii="仿宋_GB2312" w:hAnsi="仿宋_GB2312" w:eastAsia="仿宋_GB2312" w:cs="仿宋_GB2312"/>
          <w:color w:val="000000" w:themeColor="text1"/>
          <w:sz w:val="32"/>
          <w:szCs w:val="32"/>
          <w14:textFill>
            <w14:solidFill>
              <w14:schemeClr w14:val="tx1"/>
            </w14:solidFill>
          </w14:textFill>
        </w:rPr>
        <w:t>。</w:t>
      </w:r>
    </w:p>
    <w:sectPr>
      <w:footerReference r:id="rId3" w:type="default"/>
      <w:pgSz w:w="11906" w:h="16838"/>
      <w:pgMar w:top="1474" w:right="1474" w:bottom="1474" w:left="1474"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Fonts w:hint="eastAsia"/>
        <w:sz w:val="24"/>
        <w:szCs w:val="24"/>
      </w:rPr>
    </w:pPr>
    <w:r>
      <w:rPr>
        <w:rStyle w:val="15"/>
        <w:rFonts w:hint="eastAsia"/>
        <w:sz w:val="24"/>
        <w:szCs w:val="24"/>
      </w:rPr>
      <w:t xml:space="preserve">— </w:t>
    </w:r>
    <w:r>
      <w:rPr>
        <w:sz w:val="24"/>
        <w:szCs w:val="24"/>
      </w:rPr>
      <w:fldChar w:fldCharType="begin"/>
    </w:r>
    <w:r>
      <w:rPr>
        <w:rStyle w:val="15"/>
        <w:sz w:val="24"/>
        <w:szCs w:val="24"/>
      </w:rPr>
      <w:instrText xml:space="preserve">PAGE  </w:instrText>
    </w:r>
    <w:r>
      <w:rPr>
        <w:sz w:val="24"/>
        <w:szCs w:val="24"/>
      </w:rPr>
      <w:fldChar w:fldCharType="separate"/>
    </w:r>
    <w:r>
      <w:rPr>
        <w:rStyle w:val="15"/>
        <w:sz w:val="24"/>
        <w:szCs w:val="24"/>
      </w:rPr>
      <w:t>6</w:t>
    </w:r>
    <w:r>
      <w:rPr>
        <w:sz w:val="24"/>
        <w:szCs w:val="24"/>
      </w:rPr>
      <w:fldChar w:fldCharType="end"/>
    </w:r>
    <w:r>
      <w:rPr>
        <w:rStyle w:val="15"/>
        <w:rFonts w:hint="eastAsia"/>
        <w:sz w:val="24"/>
        <w:szCs w:val="24"/>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0C4"/>
    <w:rsid w:val="00004D20"/>
    <w:rsid w:val="000074D4"/>
    <w:rsid w:val="0002068C"/>
    <w:rsid w:val="000213C8"/>
    <w:rsid w:val="00023533"/>
    <w:rsid w:val="00027805"/>
    <w:rsid w:val="000572FE"/>
    <w:rsid w:val="00057CA1"/>
    <w:rsid w:val="00080259"/>
    <w:rsid w:val="000B3D7A"/>
    <w:rsid w:val="000B763D"/>
    <w:rsid w:val="000C65AC"/>
    <w:rsid w:val="000C6CDA"/>
    <w:rsid w:val="000C7A95"/>
    <w:rsid w:val="000D6D06"/>
    <w:rsid w:val="000D7146"/>
    <w:rsid w:val="000D78C5"/>
    <w:rsid w:val="000E2BEE"/>
    <w:rsid w:val="000E5289"/>
    <w:rsid w:val="000E69F0"/>
    <w:rsid w:val="000F0D60"/>
    <w:rsid w:val="000F2146"/>
    <w:rsid w:val="000F374A"/>
    <w:rsid w:val="000F4122"/>
    <w:rsid w:val="00103029"/>
    <w:rsid w:val="001070EE"/>
    <w:rsid w:val="0011219D"/>
    <w:rsid w:val="001142BD"/>
    <w:rsid w:val="0012090F"/>
    <w:rsid w:val="0013150D"/>
    <w:rsid w:val="001343C2"/>
    <w:rsid w:val="0013567B"/>
    <w:rsid w:val="0014441C"/>
    <w:rsid w:val="00150E6B"/>
    <w:rsid w:val="00152455"/>
    <w:rsid w:val="0016379D"/>
    <w:rsid w:val="00174FB1"/>
    <w:rsid w:val="00187A44"/>
    <w:rsid w:val="001935A7"/>
    <w:rsid w:val="00195C98"/>
    <w:rsid w:val="001A6D4E"/>
    <w:rsid w:val="001B6EAB"/>
    <w:rsid w:val="001C4B0F"/>
    <w:rsid w:val="001C7C09"/>
    <w:rsid w:val="001D2940"/>
    <w:rsid w:val="002000C2"/>
    <w:rsid w:val="00200819"/>
    <w:rsid w:val="00202D2A"/>
    <w:rsid w:val="00205F97"/>
    <w:rsid w:val="00222128"/>
    <w:rsid w:val="002427D6"/>
    <w:rsid w:val="00254C03"/>
    <w:rsid w:val="002558A0"/>
    <w:rsid w:val="00265404"/>
    <w:rsid w:val="00270974"/>
    <w:rsid w:val="0027203F"/>
    <w:rsid w:val="0028168E"/>
    <w:rsid w:val="00283738"/>
    <w:rsid w:val="0029294F"/>
    <w:rsid w:val="002B4EE1"/>
    <w:rsid w:val="002B68EB"/>
    <w:rsid w:val="002C7AD8"/>
    <w:rsid w:val="002E2990"/>
    <w:rsid w:val="002E3855"/>
    <w:rsid w:val="002E6AD6"/>
    <w:rsid w:val="002F1781"/>
    <w:rsid w:val="002F1A4D"/>
    <w:rsid w:val="002F521B"/>
    <w:rsid w:val="00310BFA"/>
    <w:rsid w:val="00347F38"/>
    <w:rsid w:val="003518F4"/>
    <w:rsid w:val="003540EC"/>
    <w:rsid w:val="0035688A"/>
    <w:rsid w:val="00362145"/>
    <w:rsid w:val="00374EB7"/>
    <w:rsid w:val="00377046"/>
    <w:rsid w:val="00382915"/>
    <w:rsid w:val="003849E0"/>
    <w:rsid w:val="003862A6"/>
    <w:rsid w:val="0039240D"/>
    <w:rsid w:val="003A37AB"/>
    <w:rsid w:val="003A3E20"/>
    <w:rsid w:val="003A4556"/>
    <w:rsid w:val="003C26B7"/>
    <w:rsid w:val="003C3574"/>
    <w:rsid w:val="003C4C89"/>
    <w:rsid w:val="003C4DCC"/>
    <w:rsid w:val="003C7150"/>
    <w:rsid w:val="003C71F6"/>
    <w:rsid w:val="003F1D59"/>
    <w:rsid w:val="003F5FF9"/>
    <w:rsid w:val="0040200B"/>
    <w:rsid w:val="0040389C"/>
    <w:rsid w:val="00411A3D"/>
    <w:rsid w:val="0041482E"/>
    <w:rsid w:val="004331DF"/>
    <w:rsid w:val="00461B29"/>
    <w:rsid w:val="00462782"/>
    <w:rsid w:val="004847AF"/>
    <w:rsid w:val="004858F4"/>
    <w:rsid w:val="00487546"/>
    <w:rsid w:val="004F0833"/>
    <w:rsid w:val="00521DC6"/>
    <w:rsid w:val="0053348E"/>
    <w:rsid w:val="0053597A"/>
    <w:rsid w:val="005360F1"/>
    <w:rsid w:val="00561711"/>
    <w:rsid w:val="00567238"/>
    <w:rsid w:val="005753AE"/>
    <w:rsid w:val="0059328E"/>
    <w:rsid w:val="005B3CE1"/>
    <w:rsid w:val="005C1047"/>
    <w:rsid w:val="005C7C9D"/>
    <w:rsid w:val="005E28C6"/>
    <w:rsid w:val="005E4633"/>
    <w:rsid w:val="00600325"/>
    <w:rsid w:val="00601909"/>
    <w:rsid w:val="00603899"/>
    <w:rsid w:val="0060567C"/>
    <w:rsid w:val="00605995"/>
    <w:rsid w:val="00613AA0"/>
    <w:rsid w:val="00614478"/>
    <w:rsid w:val="006179EB"/>
    <w:rsid w:val="00620B60"/>
    <w:rsid w:val="0062640C"/>
    <w:rsid w:val="00627D49"/>
    <w:rsid w:val="00640110"/>
    <w:rsid w:val="00642744"/>
    <w:rsid w:val="00643036"/>
    <w:rsid w:val="00662081"/>
    <w:rsid w:val="0067050D"/>
    <w:rsid w:val="00675CF7"/>
    <w:rsid w:val="00685EEF"/>
    <w:rsid w:val="00695415"/>
    <w:rsid w:val="006A53D4"/>
    <w:rsid w:val="006B0DB6"/>
    <w:rsid w:val="006C2689"/>
    <w:rsid w:val="006E5A34"/>
    <w:rsid w:val="006E602E"/>
    <w:rsid w:val="006E7F36"/>
    <w:rsid w:val="006F4326"/>
    <w:rsid w:val="006F4D8F"/>
    <w:rsid w:val="007064FC"/>
    <w:rsid w:val="00712B3F"/>
    <w:rsid w:val="00725EC1"/>
    <w:rsid w:val="007311E3"/>
    <w:rsid w:val="00740724"/>
    <w:rsid w:val="0075194E"/>
    <w:rsid w:val="0076313F"/>
    <w:rsid w:val="00763F5D"/>
    <w:rsid w:val="00766484"/>
    <w:rsid w:val="00772933"/>
    <w:rsid w:val="00777259"/>
    <w:rsid w:val="007829E2"/>
    <w:rsid w:val="00787E0F"/>
    <w:rsid w:val="00794A5B"/>
    <w:rsid w:val="00797B53"/>
    <w:rsid w:val="007B3CFA"/>
    <w:rsid w:val="007F11CD"/>
    <w:rsid w:val="007F7593"/>
    <w:rsid w:val="007F77C6"/>
    <w:rsid w:val="0080182E"/>
    <w:rsid w:val="008034D6"/>
    <w:rsid w:val="00810716"/>
    <w:rsid w:val="00815540"/>
    <w:rsid w:val="00823AFA"/>
    <w:rsid w:val="00824548"/>
    <w:rsid w:val="00826DB4"/>
    <w:rsid w:val="008332E6"/>
    <w:rsid w:val="008358DF"/>
    <w:rsid w:val="00836852"/>
    <w:rsid w:val="00837DAC"/>
    <w:rsid w:val="00840B7E"/>
    <w:rsid w:val="008414C5"/>
    <w:rsid w:val="00866928"/>
    <w:rsid w:val="0088018B"/>
    <w:rsid w:val="00881971"/>
    <w:rsid w:val="00891A30"/>
    <w:rsid w:val="008963B1"/>
    <w:rsid w:val="008A175A"/>
    <w:rsid w:val="008A4CCA"/>
    <w:rsid w:val="008B17D2"/>
    <w:rsid w:val="008C232F"/>
    <w:rsid w:val="008F757F"/>
    <w:rsid w:val="00901712"/>
    <w:rsid w:val="00905FF7"/>
    <w:rsid w:val="00917AF9"/>
    <w:rsid w:val="009240C9"/>
    <w:rsid w:val="00943930"/>
    <w:rsid w:val="009533E6"/>
    <w:rsid w:val="00985748"/>
    <w:rsid w:val="00987B48"/>
    <w:rsid w:val="00987EC3"/>
    <w:rsid w:val="00993A11"/>
    <w:rsid w:val="009950CA"/>
    <w:rsid w:val="00997F87"/>
    <w:rsid w:val="009A6C6A"/>
    <w:rsid w:val="009B0CC2"/>
    <w:rsid w:val="009B6B90"/>
    <w:rsid w:val="009B7CD9"/>
    <w:rsid w:val="009C1BE9"/>
    <w:rsid w:val="009E0313"/>
    <w:rsid w:val="009E0A64"/>
    <w:rsid w:val="009E2058"/>
    <w:rsid w:val="009F3D10"/>
    <w:rsid w:val="009F70A7"/>
    <w:rsid w:val="00A04604"/>
    <w:rsid w:val="00A05DDD"/>
    <w:rsid w:val="00A24757"/>
    <w:rsid w:val="00A37AF2"/>
    <w:rsid w:val="00A421E0"/>
    <w:rsid w:val="00A46BC0"/>
    <w:rsid w:val="00A55A35"/>
    <w:rsid w:val="00A55F1E"/>
    <w:rsid w:val="00A6680E"/>
    <w:rsid w:val="00A766DE"/>
    <w:rsid w:val="00A96900"/>
    <w:rsid w:val="00AA0887"/>
    <w:rsid w:val="00AB0435"/>
    <w:rsid w:val="00AB54CF"/>
    <w:rsid w:val="00AD22CE"/>
    <w:rsid w:val="00AD61E6"/>
    <w:rsid w:val="00AE3775"/>
    <w:rsid w:val="00AF24A4"/>
    <w:rsid w:val="00B031BD"/>
    <w:rsid w:val="00B31805"/>
    <w:rsid w:val="00B365B4"/>
    <w:rsid w:val="00B4442B"/>
    <w:rsid w:val="00B52487"/>
    <w:rsid w:val="00B5441D"/>
    <w:rsid w:val="00B721F1"/>
    <w:rsid w:val="00BA5A42"/>
    <w:rsid w:val="00BC6238"/>
    <w:rsid w:val="00BF6F48"/>
    <w:rsid w:val="00C02337"/>
    <w:rsid w:val="00C05A63"/>
    <w:rsid w:val="00C13E2F"/>
    <w:rsid w:val="00C22D44"/>
    <w:rsid w:val="00C236FA"/>
    <w:rsid w:val="00C23BC8"/>
    <w:rsid w:val="00C24E2A"/>
    <w:rsid w:val="00C3219B"/>
    <w:rsid w:val="00C44AB1"/>
    <w:rsid w:val="00C53510"/>
    <w:rsid w:val="00C54AD7"/>
    <w:rsid w:val="00C553DB"/>
    <w:rsid w:val="00C83E0D"/>
    <w:rsid w:val="00C9200A"/>
    <w:rsid w:val="00C97FFC"/>
    <w:rsid w:val="00CA0605"/>
    <w:rsid w:val="00CA1198"/>
    <w:rsid w:val="00CA179E"/>
    <w:rsid w:val="00CA5E00"/>
    <w:rsid w:val="00CB4738"/>
    <w:rsid w:val="00CC55DE"/>
    <w:rsid w:val="00CC600C"/>
    <w:rsid w:val="00CC621B"/>
    <w:rsid w:val="00CC7362"/>
    <w:rsid w:val="00CF0191"/>
    <w:rsid w:val="00CF163F"/>
    <w:rsid w:val="00CF7A56"/>
    <w:rsid w:val="00D01438"/>
    <w:rsid w:val="00D1230F"/>
    <w:rsid w:val="00D15539"/>
    <w:rsid w:val="00D21372"/>
    <w:rsid w:val="00D404E4"/>
    <w:rsid w:val="00D454E6"/>
    <w:rsid w:val="00D4798C"/>
    <w:rsid w:val="00DC0B48"/>
    <w:rsid w:val="00DD15A4"/>
    <w:rsid w:val="00DE0120"/>
    <w:rsid w:val="00E135EA"/>
    <w:rsid w:val="00E17BC6"/>
    <w:rsid w:val="00E2163F"/>
    <w:rsid w:val="00E23F6B"/>
    <w:rsid w:val="00E33A25"/>
    <w:rsid w:val="00E41437"/>
    <w:rsid w:val="00E42621"/>
    <w:rsid w:val="00E51C70"/>
    <w:rsid w:val="00E5310E"/>
    <w:rsid w:val="00E6294A"/>
    <w:rsid w:val="00E71730"/>
    <w:rsid w:val="00E72530"/>
    <w:rsid w:val="00E73395"/>
    <w:rsid w:val="00E75561"/>
    <w:rsid w:val="00E81EBC"/>
    <w:rsid w:val="00E85E72"/>
    <w:rsid w:val="00E87BD2"/>
    <w:rsid w:val="00EA6196"/>
    <w:rsid w:val="00ED108D"/>
    <w:rsid w:val="00ED69E7"/>
    <w:rsid w:val="00EE6E5E"/>
    <w:rsid w:val="00EF0A1D"/>
    <w:rsid w:val="00EF23D5"/>
    <w:rsid w:val="00F144E7"/>
    <w:rsid w:val="00F202AF"/>
    <w:rsid w:val="00F2144B"/>
    <w:rsid w:val="00F2400F"/>
    <w:rsid w:val="00F30177"/>
    <w:rsid w:val="00F375A5"/>
    <w:rsid w:val="00F541E3"/>
    <w:rsid w:val="00F65FEE"/>
    <w:rsid w:val="00F66899"/>
    <w:rsid w:val="00F85619"/>
    <w:rsid w:val="00F91563"/>
    <w:rsid w:val="00FA5612"/>
    <w:rsid w:val="00FA6F90"/>
    <w:rsid w:val="00FB3898"/>
    <w:rsid w:val="00FC3818"/>
    <w:rsid w:val="00FE1968"/>
    <w:rsid w:val="00FE34EC"/>
    <w:rsid w:val="029A71E5"/>
    <w:rsid w:val="02E25513"/>
    <w:rsid w:val="052611A7"/>
    <w:rsid w:val="06E669E8"/>
    <w:rsid w:val="06F31994"/>
    <w:rsid w:val="076F6F72"/>
    <w:rsid w:val="0A115FDE"/>
    <w:rsid w:val="0AF01811"/>
    <w:rsid w:val="0BAB77D5"/>
    <w:rsid w:val="0BBF5BB8"/>
    <w:rsid w:val="0BCA4994"/>
    <w:rsid w:val="0C081585"/>
    <w:rsid w:val="0D0F5C7C"/>
    <w:rsid w:val="0E2C1DA0"/>
    <w:rsid w:val="0FDE1025"/>
    <w:rsid w:val="108A3D23"/>
    <w:rsid w:val="12CF2D17"/>
    <w:rsid w:val="14083377"/>
    <w:rsid w:val="15290DB2"/>
    <w:rsid w:val="16D043A7"/>
    <w:rsid w:val="17DC7043"/>
    <w:rsid w:val="180D0CB7"/>
    <w:rsid w:val="184B39FD"/>
    <w:rsid w:val="18C95E79"/>
    <w:rsid w:val="1AD53E42"/>
    <w:rsid w:val="1C447BD0"/>
    <w:rsid w:val="1D254DBA"/>
    <w:rsid w:val="1DAB59D4"/>
    <w:rsid w:val="1E982403"/>
    <w:rsid w:val="1EBE1FED"/>
    <w:rsid w:val="1F193C6C"/>
    <w:rsid w:val="1F650B3E"/>
    <w:rsid w:val="1FE84AD7"/>
    <w:rsid w:val="20367A20"/>
    <w:rsid w:val="2169609F"/>
    <w:rsid w:val="21D707BB"/>
    <w:rsid w:val="2373012F"/>
    <w:rsid w:val="25282CA0"/>
    <w:rsid w:val="255262C8"/>
    <w:rsid w:val="25AB5C5D"/>
    <w:rsid w:val="27470A00"/>
    <w:rsid w:val="285E6FE1"/>
    <w:rsid w:val="2B0F07C3"/>
    <w:rsid w:val="2C8D167A"/>
    <w:rsid w:val="2CF63EE5"/>
    <w:rsid w:val="2D295319"/>
    <w:rsid w:val="2F203605"/>
    <w:rsid w:val="32506B8F"/>
    <w:rsid w:val="325D06AE"/>
    <w:rsid w:val="32DE08EE"/>
    <w:rsid w:val="34CB392E"/>
    <w:rsid w:val="366F7BDE"/>
    <w:rsid w:val="39660179"/>
    <w:rsid w:val="3A0310E4"/>
    <w:rsid w:val="3A542101"/>
    <w:rsid w:val="3DDC29F8"/>
    <w:rsid w:val="3DE06B39"/>
    <w:rsid w:val="3E902B46"/>
    <w:rsid w:val="3F314EBE"/>
    <w:rsid w:val="3FE237B4"/>
    <w:rsid w:val="3FFE60C5"/>
    <w:rsid w:val="41A728AA"/>
    <w:rsid w:val="42592702"/>
    <w:rsid w:val="44F9007C"/>
    <w:rsid w:val="45C22FDB"/>
    <w:rsid w:val="45D82DCC"/>
    <w:rsid w:val="4647539B"/>
    <w:rsid w:val="475C310A"/>
    <w:rsid w:val="48BF2F92"/>
    <w:rsid w:val="48F01D73"/>
    <w:rsid w:val="48F536A4"/>
    <w:rsid w:val="4AA356EC"/>
    <w:rsid w:val="4C172014"/>
    <w:rsid w:val="4C392675"/>
    <w:rsid w:val="4C392F45"/>
    <w:rsid w:val="4C59678C"/>
    <w:rsid w:val="4CFB503E"/>
    <w:rsid w:val="4D290697"/>
    <w:rsid w:val="4E327A52"/>
    <w:rsid w:val="4FA8728F"/>
    <w:rsid w:val="5004163E"/>
    <w:rsid w:val="502D4C42"/>
    <w:rsid w:val="51B0296F"/>
    <w:rsid w:val="5235627A"/>
    <w:rsid w:val="52931FAF"/>
    <w:rsid w:val="52B07A70"/>
    <w:rsid w:val="52BA7125"/>
    <w:rsid w:val="54383535"/>
    <w:rsid w:val="57166DA4"/>
    <w:rsid w:val="57937457"/>
    <w:rsid w:val="57D951CF"/>
    <w:rsid w:val="58C470AF"/>
    <w:rsid w:val="59950C05"/>
    <w:rsid w:val="5BEF090E"/>
    <w:rsid w:val="5C926366"/>
    <w:rsid w:val="608C067D"/>
    <w:rsid w:val="63D11AF8"/>
    <w:rsid w:val="67FE78B1"/>
    <w:rsid w:val="681B1472"/>
    <w:rsid w:val="68AA6610"/>
    <w:rsid w:val="69842EAC"/>
    <w:rsid w:val="69D56E9F"/>
    <w:rsid w:val="6A5905BB"/>
    <w:rsid w:val="6AED3D1F"/>
    <w:rsid w:val="6BD7035A"/>
    <w:rsid w:val="6C266883"/>
    <w:rsid w:val="6C2809BA"/>
    <w:rsid w:val="6CF35769"/>
    <w:rsid w:val="6E7A0569"/>
    <w:rsid w:val="6E8F68BE"/>
    <w:rsid w:val="6EB670F9"/>
    <w:rsid w:val="6EDC35ED"/>
    <w:rsid w:val="706D5E03"/>
    <w:rsid w:val="70FD18C8"/>
    <w:rsid w:val="72261BAF"/>
    <w:rsid w:val="7227403A"/>
    <w:rsid w:val="72387C6C"/>
    <w:rsid w:val="7361000D"/>
    <w:rsid w:val="73733106"/>
    <w:rsid w:val="75995BE1"/>
    <w:rsid w:val="76641C45"/>
    <w:rsid w:val="76FC0DA5"/>
    <w:rsid w:val="77A00049"/>
    <w:rsid w:val="77CC3983"/>
    <w:rsid w:val="77F4411D"/>
    <w:rsid w:val="78920CB7"/>
    <w:rsid w:val="797F2A96"/>
    <w:rsid w:val="7A56678D"/>
    <w:rsid w:val="7AD95B4A"/>
    <w:rsid w:val="7B234605"/>
    <w:rsid w:val="7B8A19CB"/>
    <w:rsid w:val="7BA17E48"/>
    <w:rsid w:val="7C4F1F5D"/>
    <w:rsid w:val="7D0B02CB"/>
    <w:rsid w:val="7DFC1BC6"/>
    <w:rsid w:val="7E0F723A"/>
    <w:rsid w:val="7E1E5D5A"/>
    <w:rsid w:val="7E60236A"/>
    <w:rsid w:val="7E75517B"/>
    <w:rsid w:val="7F270EFF"/>
    <w:rsid w:val="F7E68F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3"/>
    <w:basedOn w:val="1"/>
    <w:next w:val="1"/>
    <w:qFormat/>
    <w:locked/>
    <w:uiPriority w:val="0"/>
    <w:pPr>
      <w:ind w:left="840" w:leftChars="400"/>
    </w:pPr>
  </w:style>
  <w:style w:type="paragraph" w:styleId="6">
    <w:name w:val="Plain Text"/>
    <w:basedOn w:val="1"/>
    <w:qFormat/>
    <w:uiPriority w:val="0"/>
    <w:rPr>
      <w:rFonts w:ascii="宋体" w:hAnsi="Courier New" w:cs="Courier New"/>
      <w:szCs w:val="21"/>
    </w:rPr>
  </w:style>
  <w:style w:type="paragraph" w:styleId="7">
    <w:name w:val="Balloon Text"/>
    <w:basedOn w:val="1"/>
    <w:link w:val="21"/>
    <w:semiHidden/>
    <w:qFormat/>
    <w:uiPriority w:val="0"/>
    <w:rPr>
      <w:sz w:val="18"/>
      <w:szCs w:val="18"/>
    </w:rPr>
  </w:style>
  <w:style w:type="paragraph" w:styleId="8">
    <w:name w:val="footer"/>
    <w:basedOn w:val="1"/>
    <w:link w:val="22"/>
    <w:qFormat/>
    <w:uiPriority w:val="0"/>
    <w:pPr>
      <w:tabs>
        <w:tab w:val="center" w:pos="4153"/>
        <w:tab w:val="right" w:pos="8306"/>
      </w:tabs>
      <w:snapToGrid w:val="0"/>
      <w:jc w:val="left"/>
    </w:pPr>
    <w:rPr>
      <w:rFonts w:ascii="Times New Roman" w:hAnsi="Times New Roman"/>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0"/>
  </w:style>
  <w:style w:type="paragraph" w:styleId="11">
    <w:name w:val="toc 2"/>
    <w:basedOn w:val="1"/>
    <w:next w:val="1"/>
    <w:qFormat/>
    <w:locked/>
    <w:uiPriority w:val="0"/>
    <w:pPr>
      <w:ind w:left="420" w:leftChars="200"/>
    </w:p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cs="Times New Roman"/>
    </w:rPr>
  </w:style>
  <w:style w:type="character" w:styleId="16">
    <w:name w:val="Hyperlink"/>
    <w:qFormat/>
    <w:uiPriority w:val="0"/>
    <w:rPr>
      <w:color w:val="0000FF"/>
      <w:u w:val="singl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 Char Char"/>
    <w:link w:val="9"/>
    <w:qFormat/>
    <w:locked/>
    <w:uiPriority w:val="0"/>
    <w:rPr>
      <w:rFonts w:cs="Times New Roman"/>
      <w:sz w:val="18"/>
      <w:szCs w:val="18"/>
    </w:rPr>
  </w:style>
  <w:style w:type="character" w:customStyle="1" w:styleId="21">
    <w:name w:val=" Char Char1"/>
    <w:link w:val="7"/>
    <w:semiHidden/>
    <w:qFormat/>
    <w:locked/>
    <w:uiPriority w:val="0"/>
    <w:rPr>
      <w:rFonts w:cs="Times New Roman"/>
      <w:sz w:val="18"/>
      <w:szCs w:val="18"/>
    </w:rPr>
  </w:style>
  <w:style w:type="character" w:customStyle="1" w:styleId="22">
    <w:name w:val=" Char Char2"/>
    <w:link w:val="8"/>
    <w:qFormat/>
    <w:locked/>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http:/sdwm.org</Company>
  <Pages>1</Pages>
  <Words>891</Words>
  <Characters>5080</Characters>
  <Lines>42</Lines>
  <Paragraphs>11</Paragraphs>
  <TotalTime>10</TotalTime>
  <ScaleCrop>false</ScaleCrop>
  <LinksUpToDate>false</LinksUpToDate>
  <CharactersWithSpaces>5960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2021-02-08T17:26:00Z</dcterms:created>
  <dc:creator>405</dc:creator>
  <cp:lastModifiedBy>勾婧思</cp:lastModifiedBy>
  <cp:lastPrinted>2021-02-09T17:54:00Z</cp:lastPrinted>
  <dcterms:modified xsi:type="dcterms:W3CDTF">2025-01-26T10:17:29Z</dcterms:modified>
  <dc:title>附件1（2014年部门预算、“三公”经费预算公开参考格式）</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