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925" w:type="dxa"/>
        <w:tblInd w:w="-6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813"/>
        <w:gridCol w:w="650"/>
        <w:gridCol w:w="1437"/>
        <w:gridCol w:w="2750"/>
        <w:gridCol w:w="1150"/>
        <w:gridCol w:w="788"/>
        <w:gridCol w:w="825"/>
        <w:gridCol w:w="937"/>
        <w:gridCol w:w="650"/>
        <w:gridCol w:w="1949"/>
        <w:gridCol w:w="880"/>
        <w:gridCol w:w="8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2013" w:type="dxa"/>
            <w:gridSpan w:val="3"/>
            <w:shd w:val="clear" w:color="auto" w:fill="auto"/>
            <w:vAlign w:val="bottom"/>
          </w:tcPr>
          <w:p>
            <w:pPr>
              <w:widowControl/>
              <w:spacing w:line="400" w:lineRule="exact"/>
              <w:jc w:val="center"/>
              <w:textAlignment w:val="bottom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650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50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0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8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5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0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00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3725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  <w:t>广西警察学院2020年公开招聘工作人员岗位信息表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职称或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考试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用人方式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马克思主义学院专任教师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马克思主义中国化研究、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马克思主义理论与思想政治教育、思想政治教育、民族学、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科学技术哲学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高校教师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中共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具有2年以上高校从教经历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侦查学院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专任教师1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国民经济学、金融学、法律经济学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高校教师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资格证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具有2年以上高校从教经历，中共党员优先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侦查学院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专任教师2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侦查学、犯罪学、警务指挥与战术、公安技术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侦查学院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专任教师3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犯罪学、金融学、侦查学、英汉笔译与口译、工商管理、法政系统（刑事政策）、视觉艺术与戏剧指导、投资银行与金融、职业教育与人力资源开发、软件工程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博士研究生或具有海外留学经历的硕士以上研究生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直接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刑事科学技术学院专任教师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药理学、药物化学、药物分析学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信息技术学院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软件工程、计算机应用技术、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具有2年以上高校从教经历，中共党员优先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职称或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考试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用人方式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法学院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专任教师1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宪法学与行政法学、刑法学、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民商法学、经济法学、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诉讼法学、法律硕士、法律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具有2年以上高校从教经历，中共党员优先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法学院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专任教师2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法学类、社会学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1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法学院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实训教师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宪法学与行政法学、刑法学、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民商法学、经济法学、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诉讼法学、法律硕士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具有2年以上工作经历，并取得国家法律资格职业证书A证，中共党员优先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公共基础教研部专任教师1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发展与教育心理学、教育技术学、职业技术教育学、运动训练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具有2年以上高校从教经历，中共党员优先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公共基础教研部专任教师2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中国古代文学、汉语言文字学、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文艺学、语言学及应用语言学、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汉语语言学及语言获得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具有2年以上高校从教经历，中共党员优先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公共基础教研部专任教师3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行政管理、教育经济与管理、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情报学、工商管理学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40周岁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具有2年以上高校从教经历，中共党员优先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公共基础教研部专任教师4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声乐教育、艺术学、艺术硕士、音乐领域艺术硕士、美术学、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文艺学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高校教师资格证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具有2年以上高校从教经历，中共党员优先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岗位序号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是否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职称或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考试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方式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0"/>
                <w:szCs w:val="20"/>
              </w:rPr>
              <w:t>用人方式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公共基础教研部专任教师5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物理学类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公共基础教研部专任教师6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有机化学、无机化学、分析化学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公共基础教研部专任教师7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大学外语部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专业技术十一级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外国语言学及应用语言学、亚非语言文学（越南语、泰语）、翻译硕士、英语笔译、俄语语言及文化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35周岁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中共党员优先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技能测试+面试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实名编制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2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725" w:type="dxa"/>
            <w:gridSpan w:val="1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备注：（1）年龄和工作年限截止时间为2020年7月31日；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（2）专业参照公务员考试专业目录和教育部专业分类目录。</w:t>
            </w:r>
          </w:p>
        </w:tc>
      </w:tr>
    </w:tbl>
    <w:p/>
    <w:sectPr>
      <w:pgSz w:w="15840" w:h="12240" w:orient="landscape"/>
      <w:pgMar w:top="1800" w:right="1440" w:bottom="1800" w:left="1440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D07FB"/>
    <w:rsid w:val="1B0D07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TotalTime>0</TotalTime>
  <ScaleCrop>false</ScaleCrop>
  <LinksUpToDate>false</LinksUpToDate>
  <CharactersWithSpaces>0</CharactersWithSpaces>
  <Application>WPS Office_10.8.2.6726_F1E327BC-269C-435d-A152-05C5408002CA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2020-07-30T08:13:00Z</dcterms:created>
  <dc:creator>Administrator</dc:creator>
  <cp:lastModifiedBy>Administrator</cp:lastModifiedBy>
  <dcterms:modified xsi:type="dcterms:W3CDTF">2020-07-30T08:14:18Z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